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39123959"/>
        <w:docPartObj>
          <w:docPartGallery w:val="Cover Pages"/>
          <w:docPartUnique/>
        </w:docPartObj>
      </w:sdtPr>
      <w:sdtContent>
        <w:p w:rsidR="006A7147" w:rsidRDefault="006A7147">
          <w:r w:rsidRPr="00AE091F">
            <w:rPr>
              <w:rFonts w:cs="Arial"/>
              <w:noProof/>
              <w:szCs w:val="20"/>
              <w:lang w:eastAsia="fr-LU"/>
            </w:rPr>
            <mc:AlternateContent>
              <mc:Choice Requires="wpg">
                <w:drawing>
                  <wp:anchor distT="0" distB="0" distL="114300" distR="114300" simplePos="0" relativeHeight="251659264" behindDoc="0" locked="1" layoutInCell="1" allowOverlap="1" wp14:anchorId="7BDCDB91" wp14:editId="62E05424">
                    <wp:simplePos x="0" y="0"/>
                    <wp:positionH relativeFrom="column">
                      <wp:posOffset>-474980</wp:posOffset>
                    </wp:positionH>
                    <wp:positionV relativeFrom="page">
                      <wp:align>center</wp:align>
                    </wp:positionV>
                    <wp:extent cx="6631200" cy="9565200"/>
                    <wp:effectExtent l="0" t="0" r="0" b="0"/>
                    <wp:wrapNone/>
                    <wp:docPr id="8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200" cy="9565200"/>
                              <a:chOff x="106848480" y="105318149"/>
                              <a:chExt cx="6670590" cy="9564482"/>
                            </a:xfrm>
                          </wpg:grpSpPr>
                          <wps:wsp>
                            <wps:cNvPr id="819" name="Rectangle 13"/>
                            <wps:cNvSpPr>
                              <a:spLocks noChangeArrowheads="1" noChangeShapeType="1"/>
                            </wps:cNvSpPr>
                            <wps:spPr bwMode="auto">
                              <a:xfrm>
                                <a:off x="106848480" y="105318149"/>
                                <a:ext cx="4469254" cy="9564482"/>
                              </a:xfrm>
                              <a:prstGeom prst="rect">
                                <a:avLst/>
                              </a:prstGeom>
                              <a:gradFill rotWithShape="1">
                                <a:gsLst>
                                  <a:gs pos="0">
                                    <a:srgbClr val="CCE1EB"/>
                                  </a:gs>
                                  <a:gs pos="100000">
                                    <a:srgbClr val="FFFF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0" name="Rectangle 14"/>
                            <wps:cNvSpPr>
                              <a:spLocks noChangeArrowheads="1" noChangeShapeType="1"/>
                            </wps:cNvSpPr>
                            <wps:spPr bwMode="auto">
                              <a:xfrm>
                                <a:off x="108202798" y="105688166"/>
                                <a:ext cx="5316272" cy="740040"/>
                              </a:xfrm>
                              <a:prstGeom prst="rect">
                                <a:avLst/>
                              </a:prstGeom>
                              <a:solidFill>
                                <a:srgbClr val="00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1" name="Rectangle 15"/>
                            <wps:cNvSpPr>
                              <a:spLocks noChangeArrowheads="1" noChangeShapeType="1"/>
                            </wps:cNvSpPr>
                            <wps:spPr bwMode="auto">
                              <a:xfrm>
                                <a:off x="108202798" y="105688166"/>
                                <a:ext cx="338579" cy="370020"/>
                              </a:xfrm>
                              <a:prstGeom prst="rect">
                                <a:avLst/>
                              </a:prstGeom>
                              <a:solidFill>
                                <a:srgbClr val="99C2D7"/>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2" name="Rectangle 16"/>
                            <wps:cNvSpPr>
                              <a:spLocks noChangeArrowheads="1" noChangeShapeType="1"/>
                            </wps:cNvSpPr>
                            <wps:spPr bwMode="auto">
                              <a:xfrm>
                                <a:off x="108202798" y="105318149"/>
                                <a:ext cx="338579" cy="370017"/>
                              </a:xfrm>
                              <a:prstGeom prst="rect">
                                <a:avLst/>
                              </a:prstGeom>
                              <a:solidFill>
                                <a:srgbClr val="CCE1EB"/>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3" name="Rectangle 17"/>
                            <wps:cNvSpPr>
                              <a:spLocks noChangeArrowheads="1" noChangeShapeType="1"/>
                            </wps:cNvSpPr>
                            <wps:spPr bwMode="auto">
                              <a:xfrm>
                                <a:off x="107864218" y="105688166"/>
                                <a:ext cx="338581" cy="370020"/>
                              </a:xfrm>
                              <a:prstGeom prst="rect">
                                <a:avLst/>
                              </a:prstGeom>
                              <a:solidFill>
                                <a:srgbClr val="CCE1EB"/>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4" name="Rectangle 18"/>
                            <wps:cNvSpPr>
                              <a:spLocks noChangeArrowheads="1" noChangeShapeType="1"/>
                            </wps:cNvSpPr>
                            <wps:spPr bwMode="auto">
                              <a:xfrm>
                                <a:off x="107525638" y="106058186"/>
                                <a:ext cx="338580" cy="370017"/>
                              </a:xfrm>
                              <a:prstGeom prst="rect">
                                <a:avLst/>
                              </a:prstGeom>
                              <a:solidFill>
                                <a:srgbClr val="CCE1EB"/>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5" name="Rectangle 19"/>
                            <wps:cNvSpPr>
                              <a:spLocks noChangeArrowheads="1" noChangeShapeType="1"/>
                            </wps:cNvSpPr>
                            <wps:spPr bwMode="auto">
                              <a:xfrm>
                                <a:off x="107864218" y="106058186"/>
                                <a:ext cx="338581" cy="370017"/>
                              </a:xfrm>
                              <a:prstGeom prst="rect">
                                <a:avLst/>
                              </a:prstGeom>
                              <a:solidFill>
                                <a:srgbClr val="99C2D7"/>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6" name="Rectangle 20"/>
                            <wps:cNvSpPr>
                              <a:spLocks noChangeArrowheads="1" noChangeShapeType="1"/>
                            </wps:cNvSpPr>
                            <wps:spPr bwMode="auto">
                              <a:xfrm>
                                <a:off x="107525638" y="106428203"/>
                                <a:ext cx="338580" cy="370022"/>
                              </a:xfrm>
                              <a:prstGeom prst="rect">
                                <a:avLst/>
                              </a:prstGeom>
                              <a:solidFill>
                                <a:srgbClr val="99C2D7"/>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7" name="Rectangle 21"/>
                            <wps:cNvSpPr>
                              <a:spLocks noChangeArrowheads="1" noChangeShapeType="1"/>
                            </wps:cNvSpPr>
                            <wps:spPr bwMode="auto">
                              <a:xfrm>
                                <a:off x="107187058" y="105688166"/>
                                <a:ext cx="338581" cy="370020"/>
                              </a:xfrm>
                              <a:prstGeom prst="rect">
                                <a:avLst/>
                              </a:prstGeom>
                              <a:solidFill>
                                <a:srgbClr val="00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BC2F6" id="Group 12" o:spid="_x0000_s1026" style="position:absolute;margin-left:-37.4pt;margin-top:0;width:522.15pt;height:753.15pt;z-index:251659264;mso-position-vertical:center;mso-position-vertical-relative:page" coordorigin="1068484,1053181" coordsize="66705,9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">
                    <v:rect id="Rectangle 13" o:spid="_x0000_s1027" style="position:absolute;left:1068484;top:1053181;width:44693;height:9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G88AA&#10;AADcAAAADwAAAGRycy9kb3ducmV2LnhtbESPzQrCMBCE74LvEFbwpqkepFajiCAo9ODvwdvSrG2x&#10;2ZQman17Iwgeh9n5Zme+bE0lntS40rKC0TACQZxZXXKu4HzaDGIQziNrrCyTgjc5WC66nTkm2r74&#10;QM+jz0WAsEtQQeF9nUjpsoIMuqGtiYN3s41BH2STS93gK8BNJcdRNJEGSw4NBda0Lii7Hx8mvHFI&#10;3xdzZXlOt+U+3WFcTW+pUv1eu5qB8NT6//EvvdUK4tEUvmMCAe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BG88AAAADcAAAADwAAAAAAAAAAAAAAAACYAgAAZHJzL2Rvd25y&#10;ZXYueG1sUEsFBgAAAAAEAAQA9QAAAIUDAAAAAA==&#10;" fillcolor="#cce1eb" stroked="f" strokeweight="0" insetpen="t">
                      <v:fill rotate="t" angle="90" focus="100%" type="gradient"/>
                      <v:shadow color="#ccc"/>
                      <o:lock v:ext="edit" shapetype="t"/>
                      <v:textbox inset="2.88pt,2.88pt,2.88pt,2.88pt"/>
                    </v:rect>
                    <v:rect id="Rectangle 14" o:spid="_x0000_s1028" style="position:absolute;left:1082027;top:1056881;width:53163;height:7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3nsIA&#10;AADcAAAADwAAAGRycy9kb3ducmV2LnhtbERPTYvCMBC9C/sfwix403RVRKqxFFEQBVndRfA2NGNb&#10;tpnUJmr1128OgsfH+54lranEjRpXWlbw1Y9AEGdWl5wr+P1Z9SYgnEfWWFkmBQ9ykMw/OjOMtb3z&#10;nm4Hn4sQwi5GBYX3dSylywoy6Pq2Jg7c2TYGfYBNLnWD9xBuKjmIorE0WHJoKLCmRUHZ3+FqFPjR&#10;aHvaVN+rdrgod8fdJaJnulSq+9mmUxCeWv8Wv9xrrWAyCPP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eewgAAANwAAAAPAAAAAAAAAAAAAAAAAJgCAABkcnMvZG93&#10;bnJldi54bWxQSwUGAAAAAAQABAD1AAAAhwMAAAAA&#10;" fillcolor="#069" stroked="f" strokeweight="0" insetpen="t">
                      <v:shadow color="#ccc"/>
                      <o:lock v:ext="edit" shapetype="t"/>
                      <v:textbox inset="2.88pt,2.88pt,2.88pt,2.88pt"/>
                    </v:rect>
                    <v:rect id="Rectangle 15" o:spid="_x0000_s1029" style="position:absolute;left:1082027;top:1056881;width:338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xRMMA&#10;AADcAAAADwAAAGRycy9kb3ducmV2LnhtbESP0WqDQBRE3wP9h+UW+hbX5CEa4yZIICChBGr7ARf3&#10;VkX3rrjbaP6+Wwj0cZiZM0x+Wswg7jS5zrKCTRSDIK6t7rhR8PV5WacgnEfWOFgmBQ9ycDq+rHLM&#10;tJ35g+6Vb0SAsMtQQev9mEnp6pYMusiOxMH7tpNBH+TUSD3hHOBmkNs43kmDHYeFFkc6t1T31Y9R&#10;QMW5H/fXgdNGJ0vyXhYJ32al3l6X4gDC0+L/w892qRWk2w38nQ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xRMMAAADcAAAADwAAAAAAAAAAAAAAAACYAgAAZHJzL2Rv&#10;d25yZXYueG1sUEsFBgAAAAAEAAQA9QAAAIgDAAAAAA==&#10;" fillcolor="#99c2d7" stroked="f" strokeweight="0" insetpen="t">
                      <v:shadow color="#ccc"/>
                      <o:lock v:ext="edit" shapetype="t"/>
                      <v:textbox inset="2.88pt,2.88pt,2.88pt,2.88pt"/>
                    </v:rect>
                    <v:rect id="Rectangle 16" o:spid="_x0000_s1030" style="position:absolute;left:1082027;top:1053181;width:338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UMQA&#10;AADcAAAADwAAAGRycy9kb3ducmV2LnhtbESPQWvCQBSE74X+h+UVems2DaIhdROKItij2kOPr9ln&#10;Es2+jbtrTP99t1DwOMzMN8yymkwvRnK+s6zgNUlBENdWd9wo+DxsXnIQPiBr7C2Tgh/yUJWPD0ss&#10;tL3xjsZ9aESEsC9QQRvCUEjp65YM+sQOxNE7WmcwROkaqR3eItz0MkvTuTTYcVxocaBVS/V5fzUK&#10;1s3MZB+X8WvIT/3CXU/1uPjOlXp+mt7fQASawj38395qBXmWwd+Ze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dlDEAAAA3AAAAA8AAAAAAAAAAAAAAAAAmAIAAGRycy9k&#10;b3ducmV2LnhtbFBLBQYAAAAABAAEAPUAAACJAwAAAAA=&#10;" fillcolor="#cce1eb" stroked="f" strokeweight="0" insetpen="t">
                      <v:shadow color="#ccc"/>
                      <o:lock v:ext="edit" shapetype="t"/>
                      <v:textbox inset="2.88pt,2.88pt,2.88pt,2.88pt"/>
                    </v:rect>
                    <v:rect id="Rectangle 17" o:spid="_x0000_s1031" style="position:absolute;left:1078642;top:1056881;width:3385;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y8UA&#10;AADcAAAADwAAAGRycy9kb3ducmV2LnhtbESPS2vDMBCE74X8B7GB3hI5bkiMayWElkJzzOOQ49ba&#10;+lFr5UqK4/77qFDocZiZb5hiO5pODOR8Y1nBYp6AIC6tbrhScD69zTIQPiBr7CyTgh/ysN1MHgrM&#10;tb3xgYZjqESEsM9RQR1Cn0vpy5oM+rntiaP3aZ3BEKWrpHZ4i3DTyTRJVtJgw3Ghxp5eaiq/jlej&#10;4LVamnT/PVz6rO3W7tqWw/ojU+pxOu6eQQQaw3/4r/2uFWTpE/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9PLxQAAANwAAAAPAAAAAAAAAAAAAAAAAJgCAABkcnMv&#10;ZG93bnJldi54bWxQSwUGAAAAAAQABAD1AAAAigMAAAAA&#10;" fillcolor="#cce1eb" stroked="f" strokeweight="0" insetpen="t">
                      <v:shadow color="#ccc"/>
                      <o:lock v:ext="edit" shapetype="t"/>
                      <v:textbox inset="2.88pt,2.88pt,2.88pt,2.88pt"/>
                    </v:rect>
                    <v:rect id="Rectangle 18" o:spid="_x0000_s1032" style="position:absolute;left:1075256;top:1060581;width:3386;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Lv8QA&#10;AADcAAAADwAAAGRycy9kb3ducmV2LnhtbESPQWvCQBSE7wX/w/IEb83GIDWkrlKUQj1WPXh8Zl+T&#10;2OzbuLvG9N93BcHjMDPfMIvVYFrRk/ONZQXTJAVBXFrdcKXgsP98zUH4gKyxtUwK/sjDajl6WWCh&#10;7Y2/qd+FSkQI+wIV1CF0hZS+rMmgT2xHHL0f6wyGKF0ltcNbhJtWZmn6Jg02HBdq7GhdU/m7uxoF&#10;m2pmsu2lP3b5uZ2767ns56dcqcl4+HgHEWgIz/Cj/aUV5NkM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S7/EAAAA3AAAAA8AAAAAAAAAAAAAAAAAmAIAAGRycy9k&#10;b3ducmV2LnhtbFBLBQYAAAAABAAEAPUAAACJAwAAAAA=&#10;" fillcolor="#cce1eb" stroked="f" strokeweight="0" insetpen="t">
                      <v:shadow color="#ccc"/>
                      <o:lock v:ext="edit" shapetype="t"/>
                      <v:textbox inset="2.88pt,2.88pt,2.88pt,2.88pt"/>
                    </v:rect>
                    <v:rect id="Rectangle 19" o:spid="_x0000_s1033" style="position:absolute;left:1078642;top:1060581;width:3385;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3R8MA&#10;AADcAAAADwAAAGRycy9kb3ducmV2LnhtbESP3WqDQBSE7wt9h+UUctesDSRam1UkUJASAvl5gIN7&#10;qhL3rLhbNW+fLQRyOczMN8w2n00nRhpca1nBxzICQVxZ3XKt4HL+fk9AOI+ssbNMCm7kIM9eX7aY&#10;ajvxkcaTr0WAsEtRQeN9n0rpqoYMuqXtiYP3aweDPsihlnrAKcBNJ1dRtJEGWw4LDfa0a6i6nv6M&#10;Aip21/7zp+Ok1vEc78si5sOk1OJtLr5AeJr9M/xol1pBslrD/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3R8MAAADcAAAADwAAAAAAAAAAAAAAAACYAgAAZHJzL2Rv&#10;d25yZXYueG1sUEsFBgAAAAAEAAQA9QAAAIgDAAAAAA==&#10;" fillcolor="#99c2d7" stroked="f" strokeweight="0" insetpen="t">
                      <v:shadow color="#ccc"/>
                      <o:lock v:ext="edit" shapetype="t"/>
                      <v:textbox inset="2.88pt,2.88pt,2.88pt,2.88pt"/>
                    </v:rect>
                    <v:rect id="Rectangle 20" o:spid="_x0000_s1034" style="position:absolute;left:1075256;top:1064282;width:338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pMMMA&#10;AADcAAAADwAAAGRycy9kb3ducmV2LnhtbESP0WqDQBRE3wv9h+UW8lbX5kGtdRUJBEIpgdp+wMW9&#10;VdG9K+4m2r/PFgJ9HGbmDFNUm5nElRY3WFbwEsUgiFurB+4UfH8dnzMQziNrnCyTgl9yUJWPDwXm&#10;2q78SdfGdyJA2OWooPd+zqV0bU8GXWRn4uD92MWgD3LppF5wDXAzyX0cJ9LgwGGhx5kOPbVjczEK&#10;qD6M8+v7xFmn0y39ONUpn1eldk9b/QbC0+b/w/f2SSvI9gn8nQ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4pMMMAAADcAAAADwAAAAAAAAAAAAAAAACYAgAAZHJzL2Rv&#10;d25yZXYueG1sUEsFBgAAAAAEAAQA9QAAAIgDAAAAAA==&#10;" fillcolor="#99c2d7" stroked="f" strokeweight="0" insetpen="t">
                      <v:shadow color="#ccc"/>
                      <o:lock v:ext="edit" shapetype="t"/>
                      <v:textbox inset="2.88pt,2.88pt,2.88pt,2.88pt"/>
                    </v:rect>
                    <v:rect id="Rectangle 21" o:spid="_x0000_s1035" style="position:absolute;left:1071870;top:1056881;width:338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v6scA&#10;AADcAAAADwAAAGRycy9kb3ducmV2LnhtbESPQWvCQBSE7wX/w/IK3nRTlVaiq4SgIBaktaXg7ZF9&#10;JsHs25hdk7S/vlsQehxm5htmue5NJVpqXGlZwdM4AkGcWV1yruDzYzuag3AeWWNlmRR8k4P1avCw&#10;xFjbjt+pPfpcBAi7GBUU3texlC4ryKAb25o4eGfbGPRBNrnUDXYBbio5iaJnabDksFBgTWlB2eV4&#10;Mwr8bPZ62ldv236aloevwzWin2Sj1PCxTxYgPPX+P3xv77SC+eQF/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T7+rHAAAA3AAAAA8AAAAAAAAAAAAAAAAAmAIAAGRy&#10;cy9kb3ducmV2LnhtbFBLBQYAAAAABAAEAPUAAACMAwAAAAA=&#10;" fillcolor="#069" stroked="f" strokeweight="0" insetpen="t">
                      <v:shadow color="#ccc"/>
                      <o:lock v:ext="edit" shapetype="t"/>
                      <v:textbox inset="2.88pt,2.88pt,2.88pt,2.88pt"/>
                    </v:rect>
                    <w10:wrap anchory="page"/>
                    <w10:anchorlock/>
                  </v:group>
                </w:pict>
              </mc:Fallback>
            </mc:AlternateContent>
          </w:r>
        </w:p>
        <w:p w:rsidR="006A7147" w:rsidRDefault="00DA2AA3">
          <w:pPr>
            <w:spacing w:after="0" w:line="240" w:lineRule="auto"/>
          </w:pPr>
          <w:r w:rsidRPr="00AE091F">
            <w:rPr>
              <w:rFonts w:cs="Arial"/>
              <w:noProof/>
              <w:szCs w:val="20"/>
              <w:lang w:eastAsia="fr-LU"/>
            </w:rPr>
            <mc:AlternateContent>
              <mc:Choice Requires="wps">
                <w:drawing>
                  <wp:anchor distT="36576" distB="36576" distL="36576" distR="36576" simplePos="0" relativeHeight="251661312" behindDoc="0" locked="1" layoutInCell="1" allowOverlap="1" wp14:anchorId="283A4BFD" wp14:editId="5F81F20A">
                    <wp:simplePos x="0" y="0"/>
                    <wp:positionH relativeFrom="column">
                      <wp:posOffset>1041621</wp:posOffset>
                    </wp:positionH>
                    <wp:positionV relativeFrom="page">
                      <wp:align>center</wp:align>
                    </wp:positionV>
                    <wp:extent cx="4222800" cy="1422000"/>
                    <wp:effectExtent l="0" t="0" r="6350" b="6985"/>
                    <wp:wrapNone/>
                    <wp:docPr id="8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222800" cy="1422000"/>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5BF" w:rsidRPr="00CC6126" w:rsidRDefault="00CD45BF" w:rsidP="00922864">
                                <w:pPr>
                                  <w:widowControl w:val="0"/>
                                  <w:spacing w:before="0" w:after="0" w:line="240" w:lineRule="auto"/>
                                  <w:jc w:val="center"/>
                                  <w:rPr>
                                    <w:rFonts w:cs="Arial"/>
                                    <w:b/>
                                    <w:bCs/>
                                    <w:color w:val="00337F"/>
                                    <w:sz w:val="52"/>
                                    <w:szCs w:val="52"/>
                                    <w:lang w:val="fr-CH"/>
                                  </w:rPr>
                                </w:pPr>
                                <w:r w:rsidRPr="00F66318">
                                  <w:rPr>
                                    <w:rFonts w:cs="Arial"/>
                                    <w:b/>
                                    <w:bCs/>
                                    <w:color w:val="00337F"/>
                                    <w:sz w:val="124"/>
                                    <w:szCs w:val="124"/>
                                    <w:lang w:val="fr-CH"/>
                                  </w:rPr>
                                  <w:t>Newsletter</w:t>
                                </w:r>
                                <w:r>
                                  <w:rPr>
                                    <w:rFonts w:cs="Arial"/>
                                    <w:b/>
                                    <w:bCs/>
                                    <w:color w:val="00337F"/>
                                    <w:sz w:val="124"/>
                                    <w:szCs w:val="124"/>
                                    <w:lang w:val="fr-CH"/>
                                  </w:rPr>
                                  <w:br/>
                                </w:r>
                                <w:r>
                                  <w:rPr>
                                    <w:rFonts w:cs="Arial"/>
                                    <w:b/>
                                    <w:bCs/>
                                    <w:color w:val="00337F"/>
                                    <w:sz w:val="52"/>
                                    <w:szCs w:val="52"/>
                                    <w:lang w:val="fr-CH"/>
                                  </w:rPr>
                                  <w:t>No 201 October 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A4BFD" id="_x0000_t202" coordsize="21600,21600" o:spt="202" path="m,l,21600r21600,l21600,xe">
                    <v:stroke joinstyle="miter"/>
                    <v:path gradientshapeok="t" o:connecttype="rect"/>
                  </v:shapetype>
                  <v:shape id="Text Box 22" o:spid="_x0000_s1026" type="#_x0000_t202" style="position:absolute;left:0;text-align:left;margin-left:82pt;margin-top:0;width:332.5pt;height:111.95pt;rotation:180;flip:y;z-index:251661312;visibility:visible;mso-wrap-style:square;mso-width-percent:0;mso-height-percent:0;mso-wrap-distance-left:2.88pt;mso-wrap-distance-top:2.88pt;mso-wrap-distance-right:2.88pt;mso-wrap-distance-bottom:2.88pt;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" filled="f" fillcolor="#069" stroked="f" insetpen="t">
                    <v:textbox inset="2.88pt,2.88pt,2.88pt,2.88pt">
                      <w:txbxContent>
                        <w:p w:rsidR="00CD45BF" w:rsidRPr="00CC6126" w:rsidRDefault="00CD45BF" w:rsidP="00922864">
                          <w:pPr>
                            <w:widowControl w:val="0"/>
                            <w:spacing w:before="0" w:after="0" w:line="240" w:lineRule="auto"/>
                            <w:jc w:val="center"/>
                            <w:rPr>
                              <w:rFonts w:cs="Arial"/>
                              <w:b/>
                              <w:bCs/>
                              <w:color w:val="00337F"/>
                              <w:sz w:val="52"/>
                              <w:szCs w:val="52"/>
                              <w:lang w:val="fr-CH"/>
                            </w:rPr>
                          </w:pPr>
                          <w:r w:rsidRPr="00F66318">
                            <w:rPr>
                              <w:rFonts w:cs="Arial"/>
                              <w:b/>
                              <w:bCs/>
                              <w:color w:val="00337F"/>
                              <w:sz w:val="124"/>
                              <w:szCs w:val="124"/>
                              <w:lang w:val="fr-CH"/>
                            </w:rPr>
                            <w:t>Newsletter</w:t>
                          </w:r>
                          <w:r>
                            <w:rPr>
                              <w:rFonts w:cs="Arial"/>
                              <w:b/>
                              <w:bCs/>
                              <w:color w:val="00337F"/>
                              <w:sz w:val="124"/>
                              <w:szCs w:val="124"/>
                              <w:lang w:val="fr-CH"/>
                            </w:rPr>
                            <w:br/>
                          </w:r>
                          <w:r>
                            <w:rPr>
                              <w:rFonts w:cs="Arial"/>
                              <w:b/>
                              <w:bCs/>
                              <w:color w:val="00337F"/>
                              <w:sz w:val="52"/>
                              <w:szCs w:val="52"/>
                              <w:lang w:val="fr-CH"/>
                            </w:rPr>
                            <w:t>No 201 October 2017</w:t>
                          </w:r>
                        </w:p>
                      </w:txbxContent>
                    </v:textbox>
                    <w10:wrap anchory="page"/>
                    <w10:anchorlock/>
                  </v:shape>
                </w:pict>
              </mc:Fallback>
            </mc:AlternateContent>
          </w:r>
          <w:r w:rsidR="006A7147" w:rsidRPr="00AE091F">
            <w:rPr>
              <w:rFonts w:cs="Arial"/>
              <w:noProof/>
              <w:szCs w:val="20"/>
              <w:lang w:eastAsia="fr-LU"/>
            </w:rPr>
            <mc:AlternateContent>
              <mc:Choice Requires="wps">
                <w:drawing>
                  <wp:anchor distT="36576" distB="36576" distL="36576" distR="36576" simplePos="0" relativeHeight="251665408" behindDoc="0" locked="1" layoutInCell="1" allowOverlap="1" wp14:anchorId="070C62B9" wp14:editId="01341539">
                    <wp:simplePos x="0" y="0"/>
                    <wp:positionH relativeFrom="column">
                      <wp:posOffset>-475615</wp:posOffset>
                    </wp:positionH>
                    <wp:positionV relativeFrom="bottomMargin">
                      <wp:posOffset>-676275</wp:posOffset>
                    </wp:positionV>
                    <wp:extent cx="3419475" cy="1009015"/>
                    <wp:effectExtent l="0" t="0" r="9525" b="635"/>
                    <wp:wrapNone/>
                    <wp:docPr id="8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009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45BF" w:rsidRPr="00CD45BF" w:rsidRDefault="00CD45BF" w:rsidP="00701113">
                                <w:pPr>
                                  <w:widowControl w:val="0"/>
                                  <w:spacing w:before="0" w:after="0"/>
                                  <w:rPr>
                                    <w:rFonts w:cs="Arial"/>
                                    <w:szCs w:val="20"/>
                                    <w:lang w:val="en-US"/>
                                  </w:rPr>
                                </w:pPr>
                                <w:r w:rsidRPr="00CD45BF">
                                  <w:rPr>
                                    <w:rFonts w:cs="Arial"/>
                                    <w:szCs w:val="20"/>
                                    <w:lang w:val="en-US"/>
                                  </w:rPr>
                                  <w:t>General Secretariat of the CSSF</w:t>
                                </w:r>
                              </w:p>
                              <w:p w:rsidR="00CD45BF" w:rsidRPr="00CD45BF" w:rsidRDefault="00CD45BF" w:rsidP="00701113">
                                <w:pPr>
                                  <w:widowControl w:val="0"/>
                                  <w:spacing w:before="0" w:after="0"/>
                                  <w:rPr>
                                    <w:rFonts w:cs="Arial"/>
                                    <w:szCs w:val="20"/>
                                    <w:lang w:val="en-US"/>
                                  </w:rPr>
                                </w:pPr>
                                <w:r w:rsidRPr="00CD45BF">
                                  <w:rPr>
                                    <w:rFonts w:cs="Arial"/>
                                    <w:szCs w:val="20"/>
                                    <w:lang w:val="en-US"/>
                                  </w:rPr>
                                  <w:t xml:space="preserve">283, route d’Arlon, L-1150 Luxembourg </w:t>
                                </w:r>
                              </w:p>
                              <w:p w:rsidR="00CD45BF" w:rsidRPr="00333C75" w:rsidRDefault="00CD45BF" w:rsidP="00701113">
                                <w:pPr>
                                  <w:widowControl w:val="0"/>
                                  <w:spacing w:before="0" w:after="0"/>
                                  <w:rPr>
                                    <w:rFonts w:cs="Arial"/>
                                    <w:szCs w:val="20"/>
                                    <w:lang w:val="en-US"/>
                                  </w:rPr>
                                </w:pPr>
                                <w:r w:rsidRPr="00333C75">
                                  <w:rPr>
                                    <w:rFonts w:cs="Arial"/>
                                    <w:szCs w:val="20"/>
                                    <w:lang w:val="en-US"/>
                                  </w:rPr>
                                  <w:t>Postal address: L-2991 Luxembourg</w:t>
                                </w:r>
                              </w:p>
                              <w:p w:rsidR="00CD45BF" w:rsidRPr="00333C75" w:rsidRDefault="00CD45BF" w:rsidP="00701113">
                                <w:pPr>
                                  <w:widowControl w:val="0"/>
                                  <w:spacing w:before="0" w:after="0"/>
                                  <w:rPr>
                                    <w:rFonts w:cs="Arial"/>
                                    <w:szCs w:val="20"/>
                                    <w:lang w:val="en-US"/>
                                  </w:rPr>
                                </w:pPr>
                                <w:r w:rsidRPr="00333C75">
                                  <w:rPr>
                                    <w:rFonts w:cs="Arial"/>
                                    <w:szCs w:val="20"/>
                                    <w:lang w:val="en-US"/>
                                  </w:rPr>
                                  <w:t>Tel.: (+352) 26 251-2560</w:t>
                                </w:r>
                              </w:p>
                              <w:p w:rsidR="00CD45BF" w:rsidRPr="00333C75" w:rsidRDefault="00CD45BF" w:rsidP="00701113">
                                <w:pPr>
                                  <w:widowControl w:val="0"/>
                                  <w:spacing w:before="0" w:after="0"/>
                                  <w:rPr>
                                    <w:rFonts w:cs="Arial"/>
                                    <w:szCs w:val="20"/>
                                    <w:lang w:val="en-US"/>
                                  </w:rPr>
                                </w:pPr>
                                <w:r w:rsidRPr="00333C75">
                                  <w:rPr>
                                    <w:rFonts w:cs="Arial"/>
                                    <w:szCs w:val="20"/>
                                    <w:lang w:val="en-US"/>
                                  </w:rPr>
                                  <w:t>Email: direction@cssf.lu</w:t>
                                </w:r>
                              </w:p>
                              <w:p w:rsidR="00CD45BF" w:rsidRPr="00333C75" w:rsidRDefault="00CD45BF" w:rsidP="00701113">
                                <w:pPr>
                                  <w:widowControl w:val="0"/>
                                  <w:spacing w:before="0" w:after="0"/>
                                  <w:rPr>
                                    <w:rFonts w:cs="Arial"/>
                                    <w:szCs w:val="20"/>
                                    <w:lang w:val="en-US"/>
                                  </w:rPr>
                                </w:pPr>
                                <w:r w:rsidRPr="00333C75">
                                  <w:rPr>
                                    <w:rFonts w:cs="Arial"/>
                                    <w:szCs w:val="20"/>
                                    <w:lang w:val="en-US"/>
                                  </w:rPr>
                                  <w:t xml:space="preserve">Website : </w:t>
                                </w:r>
                                <w:hyperlink r:id="rId8" w:history="1">
                                  <w:r w:rsidRPr="00333C75">
                                    <w:rPr>
                                      <w:rStyle w:val="Hyperlink"/>
                                      <w:rFonts w:cs="Arial"/>
                                      <w:szCs w:val="20"/>
                                      <w:lang w:val="en-US"/>
                                    </w:rPr>
                                    <w:t>http://www.cssf.lu</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C62B9" id="Text Box 25" o:spid="_x0000_s1027" type="#_x0000_t202" style="position:absolute;left:0;text-align:left;margin-left:-37.45pt;margin-top:-53.25pt;width:269.25pt;height:79.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" filled="f" stroked="f" insetpen="t">
                    <v:textbox inset="2.88pt,2.88pt,2.88pt,2.88pt">
                      <w:txbxContent>
                        <w:p w:rsidR="00CD45BF" w:rsidRPr="00CD45BF" w:rsidRDefault="00CD45BF" w:rsidP="00701113">
                          <w:pPr>
                            <w:widowControl w:val="0"/>
                            <w:spacing w:before="0" w:after="0"/>
                            <w:rPr>
                              <w:rFonts w:cs="Arial"/>
                              <w:szCs w:val="20"/>
                              <w:lang w:val="en-US"/>
                            </w:rPr>
                          </w:pPr>
                          <w:r w:rsidRPr="00CD45BF">
                            <w:rPr>
                              <w:rFonts w:cs="Arial"/>
                              <w:szCs w:val="20"/>
                              <w:lang w:val="en-US"/>
                            </w:rPr>
                            <w:t>General Secretariat of the CSSF</w:t>
                          </w:r>
                        </w:p>
                        <w:p w:rsidR="00CD45BF" w:rsidRPr="00CD45BF" w:rsidRDefault="00CD45BF" w:rsidP="00701113">
                          <w:pPr>
                            <w:widowControl w:val="0"/>
                            <w:spacing w:before="0" w:after="0"/>
                            <w:rPr>
                              <w:rFonts w:cs="Arial"/>
                              <w:szCs w:val="20"/>
                              <w:lang w:val="en-US"/>
                            </w:rPr>
                          </w:pPr>
                          <w:r w:rsidRPr="00CD45BF">
                            <w:rPr>
                              <w:rFonts w:cs="Arial"/>
                              <w:szCs w:val="20"/>
                              <w:lang w:val="en-US"/>
                            </w:rPr>
                            <w:t xml:space="preserve">283, route d’Arlon, L-1150 Luxembourg </w:t>
                          </w:r>
                        </w:p>
                        <w:p w:rsidR="00CD45BF" w:rsidRPr="00333C75" w:rsidRDefault="00CD45BF" w:rsidP="00701113">
                          <w:pPr>
                            <w:widowControl w:val="0"/>
                            <w:spacing w:before="0" w:after="0"/>
                            <w:rPr>
                              <w:rFonts w:cs="Arial"/>
                              <w:szCs w:val="20"/>
                              <w:lang w:val="en-US"/>
                            </w:rPr>
                          </w:pPr>
                          <w:r w:rsidRPr="00333C75">
                            <w:rPr>
                              <w:rFonts w:cs="Arial"/>
                              <w:szCs w:val="20"/>
                              <w:lang w:val="en-US"/>
                            </w:rPr>
                            <w:t>Postal address: L-2991 Luxembourg</w:t>
                          </w:r>
                        </w:p>
                        <w:p w:rsidR="00CD45BF" w:rsidRPr="00333C75" w:rsidRDefault="00CD45BF" w:rsidP="00701113">
                          <w:pPr>
                            <w:widowControl w:val="0"/>
                            <w:spacing w:before="0" w:after="0"/>
                            <w:rPr>
                              <w:rFonts w:cs="Arial"/>
                              <w:szCs w:val="20"/>
                              <w:lang w:val="en-US"/>
                            </w:rPr>
                          </w:pPr>
                          <w:r w:rsidRPr="00333C75">
                            <w:rPr>
                              <w:rFonts w:cs="Arial"/>
                              <w:szCs w:val="20"/>
                              <w:lang w:val="en-US"/>
                            </w:rPr>
                            <w:t>Tel.: (+352) 26 251-2560</w:t>
                          </w:r>
                        </w:p>
                        <w:p w:rsidR="00CD45BF" w:rsidRPr="00333C75" w:rsidRDefault="00CD45BF" w:rsidP="00701113">
                          <w:pPr>
                            <w:widowControl w:val="0"/>
                            <w:spacing w:before="0" w:after="0"/>
                            <w:rPr>
                              <w:rFonts w:cs="Arial"/>
                              <w:szCs w:val="20"/>
                              <w:lang w:val="en-US"/>
                            </w:rPr>
                          </w:pPr>
                          <w:r w:rsidRPr="00333C75">
                            <w:rPr>
                              <w:rFonts w:cs="Arial"/>
                              <w:szCs w:val="20"/>
                              <w:lang w:val="en-US"/>
                            </w:rPr>
                            <w:t>Email: direction@cssf.lu</w:t>
                          </w:r>
                        </w:p>
                        <w:p w:rsidR="00CD45BF" w:rsidRPr="00333C75" w:rsidRDefault="00CD45BF" w:rsidP="00701113">
                          <w:pPr>
                            <w:widowControl w:val="0"/>
                            <w:spacing w:before="0" w:after="0"/>
                            <w:rPr>
                              <w:rFonts w:cs="Arial"/>
                              <w:szCs w:val="20"/>
                              <w:lang w:val="en-US"/>
                            </w:rPr>
                          </w:pPr>
                          <w:r w:rsidRPr="00333C75">
                            <w:rPr>
                              <w:rFonts w:cs="Arial"/>
                              <w:szCs w:val="20"/>
                              <w:lang w:val="en-US"/>
                            </w:rPr>
                            <w:t xml:space="preserve">Website : </w:t>
                          </w:r>
                          <w:hyperlink r:id="rId9" w:history="1">
                            <w:r w:rsidRPr="00333C75">
                              <w:rPr>
                                <w:rStyle w:val="Hyperlink"/>
                                <w:rFonts w:cs="Arial"/>
                                <w:szCs w:val="20"/>
                                <w:lang w:val="en-US"/>
                              </w:rPr>
                              <w:t>http://www.cssf.lu</w:t>
                            </w:r>
                          </w:hyperlink>
                        </w:p>
                      </w:txbxContent>
                    </v:textbox>
                    <w10:wrap anchory="margin"/>
                    <w10:anchorlock/>
                  </v:shape>
                </w:pict>
              </mc:Fallback>
            </mc:AlternateContent>
          </w:r>
          <w:r w:rsidR="006A7147" w:rsidRPr="00AE091F">
            <w:rPr>
              <w:noProof/>
              <w:lang w:eastAsia="fr-LU"/>
            </w:rPr>
            <w:drawing>
              <wp:anchor distT="36576" distB="36576" distL="36576" distR="36576" simplePos="0" relativeHeight="251663360" behindDoc="0" locked="1" layoutInCell="1" allowOverlap="1" wp14:anchorId="461EE028" wp14:editId="298A3E11">
                <wp:simplePos x="0" y="0"/>
                <wp:positionH relativeFrom="column">
                  <wp:posOffset>4589034</wp:posOffset>
                </wp:positionH>
                <wp:positionV relativeFrom="margin">
                  <wp:posOffset>8328826</wp:posOffset>
                </wp:positionV>
                <wp:extent cx="1501200" cy="799200"/>
                <wp:effectExtent l="0" t="0" r="3810" b="1270"/>
                <wp:wrapNone/>
                <wp:docPr id="816" name="Picture 26" descr="Logo_CSSF_Tric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CSSF_Trick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200" cy="799200"/>
                        </a:xfrm>
                        <a:prstGeom prst="rect">
                          <a:avLst/>
                        </a:prstGeom>
                        <a:gradFill rotWithShape="1">
                          <a:gsLst>
                            <a:gs pos="0">
                              <a:srgbClr val="CCE0EB">
                                <a:gamma/>
                                <a:shade val="46275"/>
                                <a:invGamma/>
                              </a:srgbClr>
                            </a:gs>
                            <a:gs pos="100000">
                              <a:srgbClr val="CCE0EB"/>
                            </a:gs>
                          </a:gsLst>
                          <a:lin ang="0" scaled="1"/>
                        </a:gradFill>
                        <a:ln>
                          <a:noFill/>
                        </a:ln>
                        <a:effectLst/>
                      </pic:spPr>
                    </pic:pic>
                  </a:graphicData>
                </a:graphic>
                <wp14:sizeRelH relativeFrom="page">
                  <wp14:pctWidth>0</wp14:pctWidth>
                </wp14:sizeRelH>
                <wp14:sizeRelV relativeFrom="page">
                  <wp14:pctHeight>0</wp14:pctHeight>
                </wp14:sizeRelV>
              </wp:anchor>
            </w:drawing>
          </w:r>
          <w:r w:rsidR="006A7147">
            <w:br w:type="page"/>
          </w:r>
        </w:p>
      </w:sdtContent>
    </w:sdt>
    <w:p w:rsidR="00057B26" w:rsidRPr="00C30E2D" w:rsidRDefault="00C30E2D" w:rsidP="00057B26">
      <w:pPr>
        <w:pStyle w:val="Heading1"/>
        <w:rPr>
          <w:lang w:val="en-US"/>
        </w:rPr>
      </w:pPr>
      <w:r w:rsidRPr="00C30E2D">
        <w:rPr>
          <w:lang w:val="en-US"/>
        </w:rPr>
        <w:lastRenderedPageBreak/>
        <w:t>NEWS</w:t>
      </w:r>
    </w:p>
    <w:p w:rsidR="00057B26" w:rsidRPr="00C30E2D" w:rsidRDefault="00C30E2D" w:rsidP="00057B26">
      <w:pPr>
        <w:pStyle w:val="Heading2"/>
        <w:rPr>
          <w:lang w:val="en-US"/>
        </w:rPr>
      </w:pPr>
      <w:r w:rsidRPr="00C30E2D">
        <w:rPr>
          <w:lang w:val="en-US"/>
        </w:rPr>
        <w:t>Annual report 2016 in English</w:t>
      </w:r>
    </w:p>
    <w:p w:rsidR="00057B26" w:rsidRPr="00C30E2D" w:rsidRDefault="00C30E2D" w:rsidP="00057B26">
      <w:pPr>
        <w:spacing w:after="120"/>
        <w:rPr>
          <w:lang w:val="en-US"/>
        </w:rPr>
      </w:pPr>
      <w:r w:rsidRPr="00C30E2D">
        <w:rPr>
          <w:lang w:val="en-US"/>
        </w:rPr>
        <w:t>The CSSF published the English version of its 2016 annual report. A PDF and an online flip book are available on the website at:</w:t>
      </w:r>
      <w:r w:rsidR="00057B26" w:rsidRPr="00C30E2D">
        <w:rPr>
          <w:lang w:val="en-US"/>
        </w:rPr>
        <w:t xml:space="preserve"> </w:t>
      </w:r>
    </w:p>
    <w:p w:rsidR="00057B26" w:rsidRPr="00D7691C" w:rsidRDefault="00CD45BF" w:rsidP="00057B26">
      <w:pPr>
        <w:rPr>
          <w:lang w:val="en-US"/>
        </w:rPr>
      </w:pPr>
      <w:hyperlink r:id="rId11" w:history="1">
        <w:r w:rsidR="00B43D81" w:rsidRPr="00D7691C">
          <w:rPr>
            <w:rStyle w:val="Hyperlink"/>
            <w:lang w:val="en-US"/>
          </w:rPr>
          <w:t>http://www.cssf.lu/en/documentation/publications/annual-reports/news-cat/567/</w:t>
        </w:r>
      </w:hyperlink>
      <w:r w:rsidR="00057B26" w:rsidRPr="00D7691C">
        <w:rPr>
          <w:lang w:val="en-US"/>
        </w:rPr>
        <w:t>.</w:t>
      </w:r>
    </w:p>
    <w:p w:rsidR="00460449" w:rsidRPr="00C30E2D" w:rsidRDefault="00C30E2D" w:rsidP="00D42D46">
      <w:pPr>
        <w:pStyle w:val="Heading1"/>
        <w:rPr>
          <w:lang w:val="en-US"/>
        </w:rPr>
      </w:pPr>
      <w:r w:rsidRPr="00C30E2D">
        <w:rPr>
          <w:lang w:val="en-US"/>
        </w:rPr>
        <w:t>HUMA</w:t>
      </w:r>
      <w:r w:rsidR="00460449" w:rsidRPr="00C30E2D">
        <w:rPr>
          <w:lang w:val="en-US"/>
        </w:rPr>
        <w:t>N</w:t>
      </w:r>
      <w:r w:rsidRPr="00C30E2D">
        <w:rPr>
          <w:lang w:val="en-US"/>
        </w:rPr>
        <w:t xml:space="preserve"> RESOURCES</w:t>
      </w:r>
    </w:p>
    <w:p w:rsidR="00460449" w:rsidRPr="00C30E2D" w:rsidRDefault="00D34AF5" w:rsidP="009E772E">
      <w:pPr>
        <w:pStyle w:val="Heading2"/>
        <w:rPr>
          <w:lang w:val="en-US"/>
        </w:rPr>
      </w:pPr>
      <w:r w:rsidRPr="00C30E2D">
        <w:rPr>
          <w:lang w:val="en-US"/>
        </w:rPr>
        <w:t>CSSF</w:t>
      </w:r>
      <w:r w:rsidR="00C30E2D" w:rsidRPr="00C30E2D">
        <w:rPr>
          <w:lang w:val="en-US"/>
        </w:rPr>
        <w:t xml:space="preserve"> staff evolution</w:t>
      </w:r>
    </w:p>
    <w:p w:rsidR="0034604F" w:rsidRPr="00C30E2D" w:rsidRDefault="00C30E2D" w:rsidP="0034604F">
      <w:pPr>
        <w:rPr>
          <w:lang w:val="en-US"/>
        </w:rPr>
      </w:pPr>
      <w:r w:rsidRPr="00C30E2D">
        <w:rPr>
          <w:lang w:val="en-US"/>
        </w:rPr>
        <w:t>Since the publication of the last Newsletter, the CSSF has recruited</w:t>
      </w:r>
      <w:r w:rsidR="0034604F" w:rsidRPr="00C30E2D">
        <w:rPr>
          <w:lang w:val="en-US"/>
        </w:rPr>
        <w:t xml:space="preserve"> 12 n</w:t>
      </w:r>
      <w:r>
        <w:rPr>
          <w:lang w:val="en-US"/>
        </w:rPr>
        <w:t>ew</w:t>
      </w:r>
      <w:r w:rsidR="0034604F" w:rsidRPr="00C30E2D">
        <w:rPr>
          <w:lang w:val="en-US"/>
        </w:rPr>
        <w:t xml:space="preserve"> agents</w:t>
      </w:r>
      <w:r>
        <w:rPr>
          <w:lang w:val="en-US"/>
        </w:rPr>
        <w:t xml:space="preserve"> who were assigned to the following departments</w:t>
      </w:r>
      <w:r w:rsidR="0034604F" w:rsidRPr="00C30E2D">
        <w:rPr>
          <w:lang w:val="en-US"/>
        </w:rPr>
        <w:t>:</w:t>
      </w:r>
    </w:p>
    <w:p w:rsidR="0034604F" w:rsidRPr="00D7691C" w:rsidRDefault="00C30E2D" w:rsidP="0034604F">
      <w:pPr>
        <w:pStyle w:val="Heading3"/>
        <w:rPr>
          <w:lang w:val="en-US"/>
        </w:rPr>
      </w:pPr>
      <w:r w:rsidRPr="00D7691C">
        <w:rPr>
          <w:lang w:val="en-US"/>
        </w:rPr>
        <w:t>UCI departments</w:t>
      </w:r>
    </w:p>
    <w:p w:rsidR="0034604F" w:rsidRPr="00D7691C" w:rsidRDefault="0034604F" w:rsidP="0034604F">
      <w:pPr>
        <w:spacing w:before="0" w:after="120"/>
        <w:rPr>
          <w:lang w:val="en-US"/>
        </w:rPr>
      </w:pPr>
      <w:r w:rsidRPr="00D7691C">
        <w:rPr>
          <w:lang w:val="en-US"/>
        </w:rPr>
        <w:t>Fouad EL BERKANI</w:t>
      </w:r>
    </w:p>
    <w:p w:rsidR="0034604F" w:rsidRPr="00D7691C" w:rsidRDefault="0034604F" w:rsidP="0034604F">
      <w:pPr>
        <w:spacing w:before="0" w:after="240"/>
        <w:rPr>
          <w:lang w:val="en-US"/>
        </w:rPr>
      </w:pPr>
      <w:r w:rsidRPr="00D7691C">
        <w:rPr>
          <w:lang w:val="en-US"/>
        </w:rPr>
        <w:t>Maximilien SAGRILLO</w:t>
      </w:r>
    </w:p>
    <w:p w:rsidR="0034604F" w:rsidRPr="00D7691C" w:rsidRDefault="00C30E2D" w:rsidP="0034604F">
      <w:pPr>
        <w:pStyle w:val="Heading3"/>
        <w:rPr>
          <w:lang w:val="en-US"/>
        </w:rPr>
      </w:pPr>
      <w:r w:rsidRPr="00D7691C">
        <w:rPr>
          <w:lang w:val="en-US"/>
        </w:rPr>
        <w:t>Supervision of securities markets departments</w:t>
      </w:r>
    </w:p>
    <w:p w:rsidR="0034604F" w:rsidRPr="00412C83" w:rsidRDefault="0034604F" w:rsidP="0034604F">
      <w:pPr>
        <w:spacing w:before="0" w:after="120"/>
        <w:rPr>
          <w:lang w:val="en-US"/>
        </w:rPr>
      </w:pPr>
      <w:r w:rsidRPr="00412C83">
        <w:rPr>
          <w:lang w:val="en-US"/>
        </w:rPr>
        <w:t>Tanja EWERT</w:t>
      </w:r>
    </w:p>
    <w:p w:rsidR="0034604F" w:rsidRPr="00412C83" w:rsidRDefault="0034604F" w:rsidP="0034604F">
      <w:pPr>
        <w:spacing w:before="0" w:after="240"/>
        <w:rPr>
          <w:lang w:val="en-US"/>
        </w:rPr>
      </w:pPr>
      <w:r w:rsidRPr="00412C83">
        <w:rPr>
          <w:lang w:val="en-US"/>
        </w:rPr>
        <w:t>Iwona SEREDYNSKA</w:t>
      </w:r>
    </w:p>
    <w:p w:rsidR="0034604F" w:rsidRPr="004B183A" w:rsidRDefault="0034604F" w:rsidP="0034604F">
      <w:pPr>
        <w:pStyle w:val="Heading3"/>
        <w:rPr>
          <w:lang w:val="en-US"/>
        </w:rPr>
      </w:pPr>
      <w:r w:rsidRPr="004B183A">
        <w:rPr>
          <w:lang w:val="en-US"/>
        </w:rPr>
        <w:t>On-site inspection</w:t>
      </w:r>
    </w:p>
    <w:p w:rsidR="0034604F" w:rsidRPr="0034604F" w:rsidRDefault="0034604F" w:rsidP="0034604F">
      <w:pPr>
        <w:spacing w:before="0" w:after="120"/>
      </w:pPr>
      <w:r w:rsidRPr="0034604F">
        <w:t>Grégory BAYLE</w:t>
      </w:r>
    </w:p>
    <w:p w:rsidR="0034604F" w:rsidRPr="0034604F" w:rsidRDefault="0034604F" w:rsidP="0034604F">
      <w:pPr>
        <w:spacing w:before="0" w:after="120"/>
      </w:pPr>
      <w:r w:rsidRPr="0034604F">
        <w:t>Alix HAMMOND</w:t>
      </w:r>
    </w:p>
    <w:p w:rsidR="0034604F" w:rsidRPr="00E97793" w:rsidRDefault="0034604F" w:rsidP="0034604F">
      <w:pPr>
        <w:spacing w:before="0" w:after="120"/>
      </w:pPr>
      <w:r w:rsidRPr="00E97793">
        <w:t>Guillaume MARCHAL</w:t>
      </w:r>
    </w:p>
    <w:p w:rsidR="0034604F" w:rsidRPr="00E97793" w:rsidRDefault="0034604F" w:rsidP="0034604F">
      <w:pPr>
        <w:spacing w:before="0" w:after="120"/>
      </w:pPr>
      <w:r>
        <w:t>Maria MARTINS</w:t>
      </w:r>
      <w:r w:rsidRPr="00E97793">
        <w:t xml:space="preserve"> </w:t>
      </w:r>
    </w:p>
    <w:p w:rsidR="0034604F" w:rsidRDefault="0034604F" w:rsidP="0034604F">
      <w:pPr>
        <w:spacing w:before="0" w:after="240"/>
      </w:pPr>
      <w:r w:rsidRPr="00E97793">
        <w:t xml:space="preserve">Agnès </w:t>
      </w:r>
      <w:r>
        <w:t>OSVILLE</w:t>
      </w:r>
    </w:p>
    <w:p w:rsidR="0034604F" w:rsidRPr="00D7691C" w:rsidRDefault="0034604F" w:rsidP="0034604F">
      <w:pPr>
        <w:pStyle w:val="Heading3"/>
        <w:tabs>
          <w:tab w:val="left" w:pos="2160"/>
          <w:tab w:val="left" w:pos="3355"/>
        </w:tabs>
        <w:rPr>
          <w:lang w:val="en-US"/>
        </w:rPr>
      </w:pPr>
      <w:r w:rsidRPr="00D7691C">
        <w:rPr>
          <w:lang w:val="en-US"/>
        </w:rPr>
        <w:t xml:space="preserve">Personnel, administration </w:t>
      </w:r>
      <w:r w:rsidR="00C30E2D" w:rsidRPr="00D7691C">
        <w:rPr>
          <w:lang w:val="en-US"/>
        </w:rPr>
        <w:t>and</w:t>
      </w:r>
      <w:r w:rsidRPr="00D7691C">
        <w:rPr>
          <w:lang w:val="en-US"/>
        </w:rPr>
        <w:t xml:space="preserve"> finance</w:t>
      </w:r>
    </w:p>
    <w:p w:rsidR="0034604F" w:rsidRPr="00D7691C" w:rsidRDefault="0034604F" w:rsidP="0034604F">
      <w:pPr>
        <w:spacing w:before="0" w:after="240"/>
        <w:rPr>
          <w:lang w:val="en-US"/>
        </w:rPr>
      </w:pPr>
      <w:r w:rsidRPr="00D7691C">
        <w:rPr>
          <w:lang w:val="en-US"/>
        </w:rPr>
        <w:t>Elza MARQUES</w:t>
      </w:r>
    </w:p>
    <w:p w:rsidR="0034604F" w:rsidRPr="00C30E2D" w:rsidRDefault="00C30E2D" w:rsidP="0034604F">
      <w:pPr>
        <w:pStyle w:val="Heading3"/>
        <w:rPr>
          <w:lang w:val="en-US"/>
        </w:rPr>
      </w:pPr>
      <w:r w:rsidRPr="00C30E2D">
        <w:rPr>
          <w:lang w:val="en-US"/>
        </w:rPr>
        <w:t>Information syste</w:t>
      </w:r>
      <w:r w:rsidR="0034604F" w:rsidRPr="00C30E2D">
        <w:rPr>
          <w:lang w:val="en-US"/>
        </w:rPr>
        <w:t>m</w:t>
      </w:r>
      <w:r w:rsidRPr="00C30E2D">
        <w:rPr>
          <w:lang w:val="en-US"/>
        </w:rPr>
        <w:t>s</w:t>
      </w:r>
      <w:r w:rsidR="0034604F" w:rsidRPr="00C30E2D">
        <w:rPr>
          <w:lang w:val="en-US"/>
        </w:rPr>
        <w:t xml:space="preserve"> </w:t>
      </w:r>
      <w:r w:rsidRPr="00C30E2D">
        <w:rPr>
          <w:lang w:val="en-US"/>
        </w:rPr>
        <w:t>of the</w:t>
      </w:r>
      <w:r w:rsidR="0034604F" w:rsidRPr="00C30E2D">
        <w:rPr>
          <w:lang w:val="en-US"/>
        </w:rPr>
        <w:t xml:space="preserve"> CSSF (IT)</w:t>
      </w:r>
    </w:p>
    <w:p w:rsidR="0034604F" w:rsidRPr="00E97793" w:rsidRDefault="0034604F" w:rsidP="0034604F">
      <w:pPr>
        <w:spacing w:before="0" w:after="120"/>
      </w:pPr>
      <w:r w:rsidRPr="00E97793">
        <w:t>Lucie EVORA LOPES</w:t>
      </w:r>
    </w:p>
    <w:p w:rsidR="0034604F" w:rsidRPr="00E97793" w:rsidRDefault="0034604F" w:rsidP="0034604F">
      <w:pPr>
        <w:spacing w:before="0" w:after="240"/>
      </w:pPr>
      <w:r w:rsidRPr="00E97793">
        <w:t>Vito DE MICHELE</w:t>
      </w:r>
    </w:p>
    <w:p w:rsidR="00460449" w:rsidRPr="00C30E2D" w:rsidRDefault="00C30E2D" w:rsidP="006A7147">
      <w:pPr>
        <w:rPr>
          <w:lang w:val="en-US"/>
        </w:rPr>
      </w:pPr>
      <w:r w:rsidRPr="00C30E2D">
        <w:rPr>
          <w:lang w:val="en-US"/>
        </w:rPr>
        <w:t>Following the departure of one agent, the CSSF counts 746 agents of which 399 are men and 347 are women (1 October 2017)</w:t>
      </w:r>
      <w:r w:rsidR="0034604F" w:rsidRPr="00C30E2D">
        <w:rPr>
          <w:lang w:val="en-US"/>
        </w:rPr>
        <w:t>.</w:t>
      </w:r>
    </w:p>
    <w:p w:rsidR="00460449" w:rsidRPr="00C30E2D" w:rsidRDefault="00C30E2D" w:rsidP="00D42D46">
      <w:pPr>
        <w:pStyle w:val="Heading1"/>
        <w:rPr>
          <w:lang w:val="en-US"/>
        </w:rPr>
      </w:pPr>
      <w:r w:rsidRPr="00C30E2D">
        <w:rPr>
          <w:lang w:val="en-US"/>
        </w:rPr>
        <w:t>WARNINGS</w:t>
      </w:r>
    </w:p>
    <w:p w:rsidR="004A0E63" w:rsidRPr="00C30E2D" w:rsidRDefault="00C30E2D" w:rsidP="009E772E">
      <w:pPr>
        <w:pStyle w:val="Heading2"/>
        <w:rPr>
          <w:lang w:val="en-US"/>
        </w:rPr>
      </w:pPr>
      <w:r w:rsidRPr="00C30E2D">
        <w:rPr>
          <w:lang w:val="en-US"/>
        </w:rPr>
        <w:t>Warning published by the</w:t>
      </w:r>
      <w:r w:rsidR="004A0E63" w:rsidRPr="00C30E2D">
        <w:rPr>
          <w:lang w:val="en-US"/>
        </w:rPr>
        <w:t xml:space="preserve"> CSSF</w:t>
      </w:r>
    </w:p>
    <w:p w:rsidR="004A0E63" w:rsidRPr="00C30E2D" w:rsidRDefault="00C30E2D" w:rsidP="00F274EE">
      <w:pPr>
        <w:spacing w:before="0" w:after="0" w:line="240" w:lineRule="auto"/>
        <w:rPr>
          <w:lang w:val="en-US"/>
        </w:rPr>
      </w:pPr>
      <w:r w:rsidRPr="00C30E2D">
        <w:rPr>
          <w:lang w:val="en-US"/>
        </w:rPr>
        <w:t>Since the publication of the last Newsletter, a warning concerning the activities of an entity named</w:t>
      </w:r>
      <w:r w:rsidR="00E4772E" w:rsidRPr="00C30E2D">
        <w:rPr>
          <w:lang w:val="en-US"/>
        </w:rPr>
        <w:t xml:space="preserve"> DBL Asset Management S.A. </w:t>
      </w:r>
      <w:r>
        <w:rPr>
          <w:lang w:val="en-US"/>
        </w:rPr>
        <w:t>was published by the CSSF</w:t>
      </w:r>
      <w:r w:rsidR="00E4772E" w:rsidRPr="00C30E2D">
        <w:rPr>
          <w:lang w:val="en-US"/>
        </w:rPr>
        <w:t>:</w:t>
      </w:r>
    </w:p>
    <w:p w:rsidR="00E4772E" w:rsidRPr="00D7691C" w:rsidRDefault="00CD45BF" w:rsidP="00F274EE">
      <w:pPr>
        <w:spacing w:before="0" w:after="240" w:line="240" w:lineRule="auto"/>
        <w:rPr>
          <w:lang w:val="en-US"/>
        </w:rPr>
      </w:pPr>
      <w:hyperlink r:id="rId12" w:history="1">
        <w:r w:rsidR="00E4772E" w:rsidRPr="00D7691C">
          <w:rPr>
            <w:rStyle w:val="Hyperlink"/>
            <w:lang w:val="en-US"/>
          </w:rPr>
          <w:t>http://www.cssf.lu/fr/consommateur/avertissements/news-cat/90/</w:t>
        </w:r>
      </w:hyperlink>
      <w:r w:rsidR="00E4772E" w:rsidRPr="00D7691C">
        <w:rPr>
          <w:lang w:val="en-US"/>
        </w:rPr>
        <w:t>.</w:t>
      </w:r>
    </w:p>
    <w:p w:rsidR="00E20EA4" w:rsidRPr="00D7691C" w:rsidRDefault="00E20EA4" w:rsidP="004A0E63">
      <w:pPr>
        <w:spacing w:before="0" w:line="240" w:lineRule="auto"/>
        <w:rPr>
          <w:lang w:val="en-US"/>
        </w:rPr>
      </w:pPr>
    </w:p>
    <w:p w:rsidR="00E20EA4" w:rsidRPr="00D7691C" w:rsidRDefault="00C30E2D" w:rsidP="00E20EA4">
      <w:pPr>
        <w:pStyle w:val="Heading2"/>
        <w:rPr>
          <w:lang w:val="en-US"/>
        </w:rPr>
      </w:pPr>
      <w:r w:rsidRPr="00D7691C">
        <w:rPr>
          <w:lang w:val="en-US"/>
        </w:rPr>
        <w:t>Warning issued by another authority</w:t>
      </w:r>
    </w:p>
    <w:p w:rsidR="00E20EA4" w:rsidRPr="00C30E2D" w:rsidRDefault="00C30E2D" w:rsidP="00F274EE">
      <w:pPr>
        <w:spacing w:before="0" w:after="0" w:line="240" w:lineRule="auto"/>
        <w:rPr>
          <w:lang w:val="en-US"/>
        </w:rPr>
      </w:pPr>
      <w:r w:rsidRPr="00C30E2D">
        <w:rPr>
          <w:lang w:val="en-US"/>
        </w:rPr>
        <w:t>Since the publication of the last Newsletter, a warning concerning the activities of an entity named Pascal Grande Capital Partners was published by the British authority, the FCA.</w:t>
      </w:r>
    </w:p>
    <w:p w:rsidR="00E4772E" w:rsidRPr="00D7691C" w:rsidRDefault="00CD45BF" w:rsidP="00F274EE">
      <w:pPr>
        <w:spacing w:before="0" w:after="240" w:line="240" w:lineRule="auto"/>
        <w:rPr>
          <w:lang w:val="en-US"/>
        </w:rPr>
      </w:pPr>
      <w:hyperlink r:id="rId13" w:history="1">
        <w:r w:rsidR="00E20EA4" w:rsidRPr="00D7691C">
          <w:rPr>
            <w:rStyle w:val="Hyperlink"/>
            <w:lang w:val="en-US"/>
          </w:rPr>
          <w:t>https://www.fca.org.uk/news/warnings/pascal-grande-capital-partners-clone</w:t>
        </w:r>
      </w:hyperlink>
      <w:r w:rsidR="00E20EA4" w:rsidRPr="00D7691C">
        <w:rPr>
          <w:lang w:val="en-US"/>
        </w:rPr>
        <w:t xml:space="preserve"> </w:t>
      </w:r>
    </w:p>
    <w:p w:rsidR="00460449" w:rsidRPr="00A75833" w:rsidRDefault="00C30E2D" w:rsidP="009E772E">
      <w:pPr>
        <w:pStyle w:val="Heading2"/>
        <w:rPr>
          <w:lang w:val="en-US"/>
        </w:rPr>
      </w:pPr>
      <w:r w:rsidRPr="00A75833">
        <w:rPr>
          <w:lang w:val="en-US"/>
        </w:rPr>
        <w:t xml:space="preserve">Warnings published by </w:t>
      </w:r>
      <w:r w:rsidR="00460449" w:rsidRPr="00A75833">
        <w:rPr>
          <w:lang w:val="en-US"/>
        </w:rPr>
        <w:t>IOSCO</w:t>
      </w:r>
    </w:p>
    <w:p w:rsidR="00460449" w:rsidRPr="00A75833" w:rsidRDefault="00B24963" w:rsidP="008D531B">
      <w:pPr>
        <w:spacing w:after="60"/>
        <w:rPr>
          <w:lang w:val="en-US"/>
        </w:rPr>
      </w:pPr>
      <w:r w:rsidRPr="00A75833">
        <w:rPr>
          <w:lang w:val="en-US"/>
        </w:rPr>
        <w:t>Several warnings were published on IOSCO’s website at</w:t>
      </w:r>
      <w:r w:rsidR="00460449" w:rsidRPr="00A75833">
        <w:rPr>
          <w:lang w:val="en-US"/>
        </w:rPr>
        <w:t>:</w:t>
      </w:r>
    </w:p>
    <w:p w:rsidR="00460449" w:rsidRPr="00D7691C" w:rsidRDefault="00CD45BF" w:rsidP="008D531B">
      <w:pPr>
        <w:spacing w:before="60"/>
        <w:rPr>
          <w:lang w:val="en-US"/>
        </w:rPr>
      </w:pPr>
      <w:hyperlink r:id="rId14" w:history="1">
        <w:r w:rsidR="00460449" w:rsidRPr="00D7691C">
          <w:rPr>
            <w:rStyle w:val="Hyperlink"/>
            <w:lang w:val="en-US"/>
          </w:rPr>
          <w:t>http://www.iosco.org/investor_protection/?subsection=investor_alerts_portal</w:t>
        </w:r>
      </w:hyperlink>
      <w:r w:rsidR="003B1D9F" w:rsidRPr="00D7691C">
        <w:rPr>
          <w:lang w:val="en-US"/>
        </w:rPr>
        <w:t>.</w:t>
      </w:r>
    </w:p>
    <w:p w:rsidR="00460449" w:rsidRPr="00A75833" w:rsidRDefault="00A75833" w:rsidP="00D42D46">
      <w:pPr>
        <w:pStyle w:val="Heading1"/>
        <w:rPr>
          <w:lang w:val="en-US"/>
        </w:rPr>
      </w:pPr>
      <w:r w:rsidRPr="00A75833">
        <w:rPr>
          <w:lang w:val="en-US"/>
        </w:rPr>
        <w:t>NATIONAL REGULATION</w:t>
      </w:r>
    </w:p>
    <w:p w:rsidR="00E4772E" w:rsidRPr="00A75833" w:rsidRDefault="00A75833" w:rsidP="00E4772E">
      <w:pPr>
        <w:pStyle w:val="Heading2"/>
        <w:rPr>
          <w:lang w:val="en-US"/>
        </w:rPr>
      </w:pPr>
      <w:r w:rsidRPr="00A75833">
        <w:rPr>
          <w:lang w:val="en-US"/>
        </w:rPr>
        <w:t>CSSF Regulation</w:t>
      </w:r>
      <w:r w:rsidR="00E4772E" w:rsidRPr="00A75833">
        <w:rPr>
          <w:lang w:val="en-US"/>
        </w:rPr>
        <w:t xml:space="preserve"> N° 17-03</w:t>
      </w:r>
    </w:p>
    <w:p w:rsidR="00E744EE" w:rsidRPr="00A75833" w:rsidRDefault="00A75833" w:rsidP="00A75833">
      <w:pPr>
        <w:rPr>
          <w:lang w:val="en-US"/>
        </w:rPr>
      </w:pPr>
      <w:r w:rsidRPr="00A75833">
        <w:rPr>
          <w:lang w:val="en-US"/>
        </w:rPr>
        <w:t>The purpose of CSSF Regulation N° 17-03 is to set a countercyclical buffer rate for the fourth quarter of 2017</w:t>
      </w:r>
      <w:r>
        <w:rPr>
          <w:lang w:val="en-US"/>
        </w:rPr>
        <w:t xml:space="preserve">. </w:t>
      </w:r>
      <w:r w:rsidRPr="00A75833">
        <w:rPr>
          <w:lang w:val="en-US"/>
        </w:rPr>
        <w:t>This countercyclical buffer rate applicable to the relevant exposures located in Luxembourg remains at 0%.</w:t>
      </w:r>
      <w:r w:rsidR="0034604F" w:rsidRPr="00A75833">
        <w:rPr>
          <w:lang w:val="en-US"/>
        </w:rPr>
        <w:t xml:space="preserve"> </w:t>
      </w:r>
      <w:r w:rsidRPr="00A75833">
        <w:rPr>
          <w:lang w:val="en-US"/>
        </w:rPr>
        <w:t>CSSF Regulation N° 17-03 was published in the Journal Officiel du Grand-Duché de Luxembourg (Mémorial A, No 861 of 27 September 2017) and on the CSSF website (</w:t>
      </w:r>
      <w:hyperlink r:id="rId15" w:history="1">
        <w:r w:rsidRPr="0091504E">
          <w:rPr>
            <w:rStyle w:val="Hyperlink"/>
            <w:lang w:val="en-US"/>
          </w:rPr>
          <w:t>http://www.cssf.lu/en/supervision/banks/regulation/laws-regulations-and-other-texts/</w:t>
        </w:r>
      </w:hyperlink>
      <w:r>
        <w:rPr>
          <w:lang w:val="en-US"/>
        </w:rPr>
        <w:t>)</w:t>
      </w:r>
      <w:r w:rsidR="0034604F" w:rsidRPr="00A75833">
        <w:rPr>
          <w:lang w:val="en-US"/>
        </w:rPr>
        <w:t>.</w:t>
      </w:r>
    </w:p>
    <w:p w:rsidR="00E20EA4" w:rsidRPr="00A75833" w:rsidRDefault="00E20EA4" w:rsidP="00C76FA8">
      <w:pPr>
        <w:rPr>
          <w:lang w:val="en-US"/>
        </w:rPr>
      </w:pPr>
    </w:p>
    <w:p w:rsidR="00E4772E" w:rsidRPr="00A75833" w:rsidRDefault="00E4772E" w:rsidP="00E4772E">
      <w:pPr>
        <w:pStyle w:val="Heading2"/>
        <w:rPr>
          <w:lang w:val="en-US"/>
        </w:rPr>
      </w:pPr>
      <w:r w:rsidRPr="00A75833">
        <w:rPr>
          <w:lang w:val="en-US"/>
        </w:rPr>
        <w:t>Circular CSSF 17/669</w:t>
      </w:r>
    </w:p>
    <w:p w:rsidR="00E4772E" w:rsidRPr="00A75833" w:rsidRDefault="00A75833" w:rsidP="00E20EA4">
      <w:pPr>
        <w:rPr>
          <w:lang w:val="en-US"/>
        </w:rPr>
      </w:pPr>
      <w:r w:rsidRPr="00A75833">
        <w:rPr>
          <w:lang w:val="en-US"/>
        </w:rPr>
        <w:t>The purpose of Circular CSSF 17/669 is to draw the attention of the persons concerned to the joint guidelines on the prudential assessment of acquisitions and increases of qualifying holdings in the financial sector (JC/GL/2016/01) issued by the European Securities and Markets Authority (ESMA), the European Banking Authority</w:t>
      </w:r>
      <w:r w:rsidR="006A3943">
        <w:rPr>
          <w:lang w:val="en-US"/>
        </w:rPr>
        <w:t xml:space="preserve"> (EBA)</w:t>
      </w:r>
      <w:r w:rsidRPr="00A75833">
        <w:rPr>
          <w:lang w:val="en-US"/>
        </w:rPr>
        <w:t xml:space="preserve"> and the European Insurance and Occupational Pensions Authority (EIOPA). These guidelines entered into force on 1 October 2017 and the CSSF intends to comply with them.</w:t>
      </w:r>
    </w:p>
    <w:p w:rsidR="00E20EA4" w:rsidRPr="00A75833" w:rsidRDefault="00E20EA4" w:rsidP="00E20EA4">
      <w:pPr>
        <w:rPr>
          <w:lang w:val="en-US"/>
        </w:rPr>
      </w:pPr>
    </w:p>
    <w:p w:rsidR="00E4772E" w:rsidRPr="00D7691C" w:rsidRDefault="00A75833" w:rsidP="00E4772E">
      <w:pPr>
        <w:pStyle w:val="Heading2"/>
        <w:rPr>
          <w:lang w:val="en-US"/>
        </w:rPr>
      </w:pPr>
      <w:r w:rsidRPr="00D7691C">
        <w:rPr>
          <w:lang w:val="en-US"/>
        </w:rPr>
        <w:t>Circula</w:t>
      </w:r>
      <w:r w:rsidR="00E4772E" w:rsidRPr="00D7691C">
        <w:rPr>
          <w:lang w:val="en-US"/>
        </w:rPr>
        <w:t>r CSSF-CPDI 17/09</w:t>
      </w:r>
    </w:p>
    <w:p w:rsidR="00E4772E" w:rsidRPr="00A75833" w:rsidRDefault="00A75833" w:rsidP="00E4772E">
      <w:pPr>
        <w:rPr>
          <w:lang w:val="en-US"/>
        </w:rPr>
      </w:pPr>
      <w:r w:rsidRPr="00A75833">
        <w:rPr>
          <w:lang w:val="en-US"/>
        </w:rPr>
        <w:t>The purpose of Circular CSSF-CPDI 17/09 is to carry out a survey on deposits, and more particularly on covered deposits, as held by credit institutions incorporated under Luxembourg law, POST Luxembourg for its provision of postal financial services, and Luxembourg branches of credit institutions having their head office in a third country as at 30 September 2017.</w:t>
      </w:r>
    </w:p>
    <w:p w:rsidR="00460449" w:rsidRPr="00A75833" w:rsidRDefault="00A75833" w:rsidP="00D42D46">
      <w:pPr>
        <w:pStyle w:val="Heading1"/>
        <w:rPr>
          <w:lang w:val="en-US"/>
        </w:rPr>
      </w:pPr>
      <w:r w:rsidRPr="00A75833">
        <w:rPr>
          <w:lang w:val="en-US"/>
        </w:rPr>
        <w:t>BANKING REGULATION AND SINGLE SUPERVISORY MECHANISM</w:t>
      </w:r>
    </w:p>
    <w:p w:rsidR="00A75833" w:rsidRDefault="00A75833" w:rsidP="00A75833">
      <w:pPr>
        <w:rPr>
          <w:lang w:val="en-US"/>
        </w:rPr>
      </w:pPr>
    </w:p>
    <w:p w:rsidR="00573875" w:rsidRPr="00A73985" w:rsidRDefault="00573875" w:rsidP="00573875">
      <w:pPr>
        <w:pStyle w:val="Heading2"/>
        <w:rPr>
          <w:lang w:val="en-US"/>
        </w:rPr>
      </w:pPr>
      <w:r w:rsidRPr="00A73985">
        <w:rPr>
          <w:lang w:val="en-US"/>
        </w:rPr>
        <w:t>Single Supervisory Mec</w:t>
      </w:r>
      <w:r>
        <w:rPr>
          <w:lang w:val="en-US"/>
        </w:rPr>
        <w:t>hanism - European Central Bank (ECB)</w:t>
      </w:r>
    </w:p>
    <w:p w:rsidR="00573875" w:rsidRDefault="00573875" w:rsidP="00573875">
      <w:pPr>
        <w:pStyle w:val="Heading3"/>
        <w:rPr>
          <w:bCs/>
          <w:lang w:val="en-US"/>
        </w:rPr>
      </w:pPr>
      <w:r>
        <w:rPr>
          <w:bCs/>
          <w:lang w:val="en-US"/>
        </w:rPr>
        <w:t>Publications and Consultations</w:t>
      </w:r>
    </w:p>
    <w:p w:rsidR="00573875" w:rsidRPr="005853CE" w:rsidRDefault="00573875" w:rsidP="00573875">
      <w:pPr>
        <w:spacing w:after="120"/>
        <w:rPr>
          <w:rStyle w:val="Hyperlink"/>
          <w:lang w:val="en-US"/>
        </w:rPr>
      </w:pPr>
      <w:r w:rsidRPr="005853CE">
        <w:rPr>
          <w:b/>
          <w:lang w:val="en-US"/>
        </w:rPr>
        <w:t>1 September 2017</w:t>
      </w:r>
      <w:r w:rsidRPr="005853CE">
        <w:rPr>
          <w:lang w:val="en-US"/>
        </w:rPr>
        <w:t xml:space="preserve"> – </w:t>
      </w:r>
      <w:hyperlink r:id="rId16" w:history="1">
        <w:r w:rsidRPr="005853CE">
          <w:rPr>
            <w:rStyle w:val="Hyperlink"/>
            <w:lang w:val="en-US"/>
          </w:rPr>
          <w:t>Letter from the Chair of the Supervisory Board to members of the European Parliament</w:t>
        </w:r>
      </w:hyperlink>
      <w:r w:rsidRPr="005853CE">
        <w:rPr>
          <w:rStyle w:val="Hyperlink"/>
          <w:lang w:val="en-US"/>
        </w:rPr>
        <w:t xml:space="preserve"> </w:t>
      </w:r>
    </w:p>
    <w:p w:rsidR="00573875" w:rsidRPr="005D4F4E" w:rsidRDefault="00573875" w:rsidP="00573875">
      <w:pPr>
        <w:spacing w:after="360"/>
        <w:rPr>
          <w:szCs w:val="20"/>
          <w:lang w:val="en-US"/>
        </w:rPr>
      </w:pPr>
      <w:r w:rsidRPr="005853CE">
        <w:rPr>
          <w:szCs w:val="20"/>
          <w:lang w:val="en-US"/>
        </w:rPr>
        <w:t xml:space="preserve">The </w:t>
      </w:r>
      <w:r w:rsidRPr="005853CE">
        <w:rPr>
          <w:lang w:val="en-US"/>
        </w:rPr>
        <w:t>European Central Bank (ECB</w:t>
      </w:r>
      <w:r w:rsidRPr="005853CE">
        <w:rPr>
          <w:szCs w:val="20"/>
          <w:lang w:val="en-US"/>
        </w:rPr>
        <w:t xml:space="preserve">) has published a letter from the Chair of the Supervisory Board to members of the European Parliament in response to a written request in relation to </w:t>
      </w:r>
      <w:r w:rsidRPr="005853CE">
        <w:rPr>
          <w:szCs w:val="20"/>
          <w:lang w:val="en"/>
        </w:rPr>
        <w:t>oligopoly in the auditing sector.</w:t>
      </w:r>
    </w:p>
    <w:p w:rsidR="00573875" w:rsidRPr="00C14480" w:rsidRDefault="00573875" w:rsidP="00573875">
      <w:pPr>
        <w:spacing w:after="120"/>
        <w:rPr>
          <w:b/>
          <w:bCs/>
          <w:lang w:val="en-US"/>
        </w:rPr>
      </w:pPr>
      <w:r w:rsidRPr="005853CE">
        <w:rPr>
          <w:b/>
          <w:lang w:val="en-US"/>
        </w:rPr>
        <w:lastRenderedPageBreak/>
        <w:t>20 September 2017</w:t>
      </w:r>
      <w:r w:rsidRPr="005853CE">
        <w:rPr>
          <w:lang w:val="en-US"/>
        </w:rPr>
        <w:t xml:space="preserve"> – </w:t>
      </w:r>
      <w:hyperlink r:id="rId17" w:history="1">
        <w:r w:rsidRPr="005853CE">
          <w:rPr>
            <w:rStyle w:val="Hyperlink"/>
            <w:bCs/>
            <w:lang w:val="en-US"/>
          </w:rPr>
          <w:t>ECB published opinion on proposals for the recovery and resolution of central counterparties (CCPs)</w:t>
        </w:r>
      </w:hyperlink>
    </w:p>
    <w:p w:rsidR="00573875" w:rsidRPr="00573875" w:rsidRDefault="00573875" w:rsidP="00573875">
      <w:pPr>
        <w:spacing w:after="360"/>
        <w:rPr>
          <w:szCs w:val="20"/>
          <w:lang w:val="en-US"/>
        </w:rPr>
      </w:pPr>
      <w:r w:rsidRPr="00C14480">
        <w:rPr>
          <w:lang w:val="en-US"/>
        </w:rPr>
        <w:t>The ECB</w:t>
      </w:r>
      <w:r>
        <w:rPr>
          <w:lang w:val="en-US"/>
        </w:rPr>
        <w:t xml:space="preserve"> has</w:t>
      </w:r>
      <w:r w:rsidRPr="00C14480">
        <w:rPr>
          <w:lang w:val="en-US"/>
        </w:rPr>
        <w:t xml:space="preserve"> published</w:t>
      </w:r>
      <w:r>
        <w:rPr>
          <w:lang w:val="en-US"/>
        </w:rPr>
        <w:t xml:space="preserve"> an</w:t>
      </w:r>
      <w:r w:rsidRPr="00C14480">
        <w:rPr>
          <w:lang w:val="en-US"/>
        </w:rPr>
        <w:t xml:space="preserve"> opinion on proposals for the recovery and resolution of central counterparties (CCPs)</w:t>
      </w:r>
      <w:r>
        <w:rPr>
          <w:lang w:val="en-US"/>
        </w:rPr>
        <w:t xml:space="preserve">. </w:t>
      </w:r>
      <w:r w:rsidRPr="00C14480">
        <w:rPr>
          <w:lang w:val="en-US"/>
        </w:rPr>
        <w:t>The ECB supports the Commission’s initiative to establish a dedicated Union framework for the recovery and resolution of CCPs. However, it provides some suggestions to enhance the proposal, including aligning the proposal with what has been agreed and/or is under development at international level.</w:t>
      </w:r>
    </w:p>
    <w:p w:rsidR="00573875" w:rsidRPr="00BF0C44" w:rsidRDefault="00573875" w:rsidP="00573875">
      <w:pPr>
        <w:spacing w:after="120"/>
        <w:rPr>
          <w:rStyle w:val="Hyperlink"/>
          <w:lang w:val="en-US"/>
        </w:rPr>
      </w:pPr>
      <w:r>
        <w:rPr>
          <w:b/>
          <w:lang w:val="en-US"/>
        </w:rPr>
        <w:t>21</w:t>
      </w:r>
      <w:r w:rsidRPr="00856F57">
        <w:rPr>
          <w:b/>
          <w:lang w:val="en-US"/>
        </w:rPr>
        <w:t xml:space="preserve"> September 2017</w:t>
      </w:r>
      <w:r w:rsidRPr="00856F57">
        <w:rPr>
          <w:lang w:val="en-US"/>
        </w:rPr>
        <w:t xml:space="preserve"> – </w:t>
      </w:r>
      <w:hyperlink r:id="rId18" w:history="1">
        <w:r w:rsidRPr="005E4123">
          <w:rPr>
            <w:rStyle w:val="Hyperlink"/>
            <w:lang w:val="en-US"/>
          </w:rPr>
          <w:t>ECB issued draft consultation guide on bank licensing and fintech bank licensing</w:t>
        </w:r>
      </w:hyperlink>
    </w:p>
    <w:p w:rsidR="00573875" w:rsidRDefault="00573875" w:rsidP="00573875">
      <w:pPr>
        <w:spacing w:after="120"/>
        <w:rPr>
          <w:lang w:val="en-US"/>
        </w:rPr>
      </w:pPr>
      <w:r>
        <w:rPr>
          <w:lang w:val="en-US"/>
        </w:rPr>
        <w:t xml:space="preserve">The ECB has issued a draft consultation guide on bank licensing and fintech licensing. </w:t>
      </w:r>
      <w:r w:rsidRPr="00BF0C44">
        <w:rPr>
          <w:lang w:val="en-US"/>
        </w:rPr>
        <w:t xml:space="preserve">The </w:t>
      </w:r>
      <w:hyperlink r:id="rId19" w:history="1">
        <w:r w:rsidRPr="00BF0C44">
          <w:rPr>
            <w:rStyle w:val="Hyperlink"/>
            <w:lang w:val="en-US"/>
          </w:rPr>
          <w:t>first draft guide</w:t>
        </w:r>
      </w:hyperlink>
      <w:r w:rsidRPr="00BF0C44">
        <w:rPr>
          <w:lang w:val="en-US"/>
        </w:rPr>
        <w:t xml:space="preserve"> sets out the general process and the requirements for the assessment of licence applications. The </w:t>
      </w:r>
      <w:hyperlink r:id="rId20" w:history="1">
        <w:r w:rsidRPr="00BF0C44">
          <w:rPr>
            <w:rStyle w:val="Hyperlink"/>
            <w:lang w:val="en-US"/>
          </w:rPr>
          <w:t>second draft guide</w:t>
        </w:r>
      </w:hyperlink>
      <w:r w:rsidRPr="00BF0C44">
        <w:rPr>
          <w:lang w:val="en-US"/>
        </w:rPr>
        <w:t xml:space="preserve"> is directed at entities with a fintech business model which are considering applying for a banking licence. The guides are based on policies agreed between the ECB and the national competent authorities for interactions with licence applicants. </w:t>
      </w:r>
      <w:r>
        <w:rPr>
          <w:lang w:val="en-US"/>
        </w:rPr>
        <w:t>S</w:t>
      </w:r>
      <w:r w:rsidRPr="00BF0C44">
        <w:rPr>
          <w:lang w:val="en-US"/>
        </w:rPr>
        <w:t>ee a</w:t>
      </w:r>
      <w:r>
        <w:rPr>
          <w:lang w:val="en-US"/>
        </w:rPr>
        <w:t>lso the</w:t>
      </w:r>
      <w:r w:rsidRPr="00BF0C44">
        <w:rPr>
          <w:lang w:val="en-US"/>
        </w:rPr>
        <w:t xml:space="preserve"> </w:t>
      </w:r>
      <w:hyperlink r:id="rId21" w:history="1">
        <w:r w:rsidRPr="00BF0C44">
          <w:rPr>
            <w:rStyle w:val="Hyperlink"/>
            <w:lang w:val="en-US"/>
          </w:rPr>
          <w:t>Q&amp;A document</w:t>
        </w:r>
      </w:hyperlink>
      <w:r w:rsidRPr="00BF0C44">
        <w:rPr>
          <w:lang w:val="en-US"/>
        </w:rPr>
        <w:t>.</w:t>
      </w:r>
    </w:p>
    <w:p w:rsidR="00573875" w:rsidRPr="00573875" w:rsidRDefault="00573875" w:rsidP="00573875">
      <w:pPr>
        <w:spacing w:after="360"/>
        <w:rPr>
          <w:szCs w:val="20"/>
          <w:lang w:val="en-US"/>
        </w:rPr>
      </w:pPr>
      <w:r w:rsidRPr="00427021">
        <w:rPr>
          <w:lang w:val="en-US"/>
        </w:rPr>
        <w:t xml:space="preserve">The consultation will </w:t>
      </w:r>
      <w:r>
        <w:rPr>
          <w:lang w:val="en-US"/>
        </w:rPr>
        <w:t xml:space="preserve">run </w:t>
      </w:r>
      <w:r w:rsidRPr="00427021">
        <w:rPr>
          <w:lang w:val="en-US"/>
        </w:rPr>
        <w:t xml:space="preserve">until </w:t>
      </w:r>
      <w:r>
        <w:rPr>
          <w:lang w:val="en-US"/>
        </w:rPr>
        <w:t>2</w:t>
      </w:r>
      <w:r w:rsidRPr="00427021">
        <w:rPr>
          <w:lang w:val="en-US"/>
        </w:rPr>
        <w:t xml:space="preserve"> </w:t>
      </w:r>
      <w:r w:rsidRPr="00BF0C44">
        <w:rPr>
          <w:lang w:val="en-US"/>
        </w:rPr>
        <w:t>November</w:t>
      </w:r>
      <w:r w:rsidRPr="00427021">
        <w:rPr>
          <w:lang w:val="en-US"/>
        </w:rPr>
        <w:t xml:space="preserve"> 2017</w:t>
      </w:r>
      <w:r w:rsidRPr="00BF0C44">
        <w:rPr>
          <w:lang w:val="en-US"/>
        </w:rPr>
        <w:t>.</w:t>
      </w:r>
      <w:r w:rsidRPr="00856F57">
        <w:rPr>
          <w:lang w:val="en-US"/>
        </w:rPr>
        <w:t xml:space="preserve"> </w:t>
      </w:r>
    </w:p>
    <w:p w:rsidR="00573875" w:rsidRPr="00573875" w:rsidRDefault="00573875" w:rsidP="00573875">
      <w:pPr>
        <w:spacing w:after="120"/>
        <w:rPr>
          <w:rStyle w:val="Hyperlink"/>
          <w:color w:val="auto"/>
          <w:lang w:val="en-US"/>
        </w:rPr>
      </w:pPr>
      <w:r w:rsidRPr="00F73FDB">
        <w:rPr>
          <w:b/>
          <w:lang w:val="en-US"/>
        </w:rPr>
        <w:t>25 September 2017</w:t>
      </w:r>
      <w:r w:rsidRPr="00F73FDB">
        <w:rPr>
          <w:lang w:val="en-US"/>
        </w:rPr>
        <w:t xml:space="preserve"> – </w:t>
      </w:r>
      <w:hyperlink r:id="rId22" w:history="1">
        <w:r w:rsidRPr="00AB7AB1">
          <w:rPr>
            <w:rStyle w:val="Hyperlink"/>
            <w:lang w:val="en-US"/>
          </w:rPr>
          <w:t>ECB Guide on materiality assessment (EGMA) - Materiality assessment for IMM and A-CVA model extensions and changes</w:t>
        </w:r>
      </w:hyperlink>
    </w:p>
    <w:p w:rsidR="00573875" w:rsidRPr="00C14480" w:rsidRDefault="00573875" w:rsidP="00573875">
      <w:pPr>
        <w:spacing w:after="360"/>
        <w:rPr>
          <w:lang w:val="en-US"/>
        </w:rPr>
      </w:pPr>
      <w:r w:rsidRPr="00C14480">
        <w:rPr>
          <w:szCs w:val="20"/>
          <w:lang w:val="en-US"/>
        </w:rPr>
        <w:t>The ECB</w:t>
      </w:r>
      <w:r>
        <w:rPr>
          <w:szCs w:val="20"/>
          <w:lang w:val="en-US"/>
        </w:rPr>
        <w:t xml:space="preserve"> has</w:t>
      </w:r>
      <w:r w:rsidRPr="00C14480">
        <w:rPr>
          <w:szCs w:val="20"/>
          <w:lang w:val="en-US"/>
        </w:rPr>
        <w:t xml:space="preserve"> released </w:t>
      </w:r>
      <w:r>
        <w:rPr>
          <w:szCs w:val="20"/>
          <w:lang w:val="en-US"/>
        </w:rPr>
        <w:t xml:space="preserve">its </w:t>
      </w:r>
      <w:r w:rsidRPr="00C14480">
        <w:rPr>
          <w:szCs w:val="20"/>
          <w:lang w:val="en-US"/>
        </w:rPr>
        <w:t>guide on materiality assessment for changes to counterparty credit risk models</w:t>
      </w:r>
      <w:r>
        <w:rPr>
          <w:szCs w:val="20"/>
          <w:lang w:val="en-US"/>
        </w:rPr>
        <w:t xml:space="preserve">. </w:t>
      </w:r>
      <w:r w:rsidRPr="00C14480">
        <w:rPr>
          <w:szCs w:val="20"/>
          <w:lang w:val="en-US"/>
        </w:rPr>
        <w:t>The guide</w:t>
      </w:r>
      <w:r>
        <w:rPr>
          <w:szCs w:val="20"/>
          <w:lang w:val="en-US"/>
        </w:rPr>
        <w:t xml:space="preserve"> is aimed to</w:t>
      </w:r>
      <w:r w:rsidRPr="00C14480">
        <w:rPr>
          <w:szCs w:val="20"/>
          <w:lang w:val="en-US"/>
        </w:rPr>
        <w:t xml:space="preserve"> assist significant institutions directly supervised by the ECB in their self-assessment </w:t>
      </w:r>
      <w:r w:rsidRPr="00C14480">
        <w:rPr>
          <w:lang w:val="en-US"/>
        </w:rPr>
        <w:t>of the materiality of changes and extensions to internal models used to calculate counterparty credit and cre</w:t>
      </w:r>
      <w:r>
        <w:rPr>
          <w:lang w:val="en-US"/>
        </w:rPr>
        <w:t>dit valuation adjustment risks.</w:t>
      </w:r>
    </w:p>
    <w:p w:rsidR="00573875" w:rsidRDefault="00573875" w:rsidP="00573875">
      <w:pPr>
        <w:pStyle w:val="Heading3"/>
        <w:rPr>
          <w:bCs/>
          <w:lang w:val="en-US"/>
        </w:rPr>
      </w:pPr>
      <w:r>
        <w:rPr>
          <w:bCs/>
          <w:lang w:val="en-US"/>
        </w:rPr>
        <w:t>Interviews and speeche</w:t>
      </w:r>
      <w:r w:rsidRPr="00856F57">
        <w:rPr>
          <w:bCs/>
          <w:lang w:val="en-US"/>
        </w:rPr>
        <w:t>s</w:t>
      </w:r>
    </w:p>
    <w:p w:rsidR="00573875" w:rsidRDefault="00573875" w:rsidP="00573875">
      <w:pPr>
        <w:spacing w:after="360"/>
        <w:rPr>
          <w:lang w:val="en-US"/>
        </w:rPr>
      </w:pPr>
      <w:r>
        <w:rPr>
          <w:b/>
          <w:lang w:val="en-US"/>
        </w:rPr>
        <w:t>5</w:t>
      </w:r>
      <w:r w:rsidRPr="00856F57">
        <w:rPr>
          <w:b/>
          <w:lang w:val="en-US"/>
        </w:rPr>
        <w:t xml:space="preserve"> September 2017</w:t>
      </w:r>
      <w:r w:rsidRPr="00856F57">
        <w:rPr>
          <w:lang w:val="en-US"/>
        </w:rPr>
        <w:t xml:space="preserve"> – </w:t>
      </w:r>
      <w:r>
        <w:rPr>
          <w:lang w:val="en-US"/>
        </w:rPr>
        <w:t>“</w:t>
      </w:r>
      <w:hyperlink r:id="rId23" w:history="1">
        <w:r>
          <w:rPr>
            <w:rStyle w:val="Hyperlink"/>
            <w:lang w:val="en-US"/>
          </w:rPr>
          <w:t>Banks must be allowed to fail</w:t>
        </w:r>
      </w:hyperlink>
      <w:r w:rsidRPr="00126AB6">
        <w:rPr>
          <w:lang w:val="en-US"/>
        </w:rPr>
        <w:t xml:space="preserve">” - </w:t>
      </w:r>
      <w:r w:rsidRPr="00B86B7B">
        <w:rPr>
          <w:lang w:val="en"/>
        </w:rPr>
        <w:t>Contribution by Danièle Nouy, Chair of the Supervisory Board of the ECB, for Handelsblatt conference brochure</w:t>
      </w:r>
    </w:p>
    <w:p w:rsidR="00573875" w:rsidRDefault="00573875" w:rsidP="00573875">
      <w:pPr>
        <w:spacing w:after="360"/>
        <w:rPr>
          <w:lang w:val="en-US"/>
        </w:rPr>
      </w:pPr>
      <w:r>
        <w:rPr>
          <w:b/>
          <w:lang w:val="en-US"/>
        </w:rPr>
        <w:t>5</w:t>
      </w:r>
      <w:r w:rsidRPr="00856F57">
        <w:rPr>
          <w:b/>
          <w:lang w:val="en-US"/>
        </w:rPr>
        <w:t xml:space="preserve"> September 2017</w:t>
      </w:r>
      <w:r w:rsidRPr="00856F57">
        <w:rPr>
          <w:lang w:val="en-US"/>
        </w:rPr>
        <w:t xml:space="preserve"> – </w:t>
      </w:r>
      <w:r>
        <w:rPr>
          <w:lang w:val="en-US"/>
        </w:rPr>
        <w:t>“</w:t>
      </w:r>
      <w:hyperlink r:id="rId24" w:history="1">
        <w:r w:rsidRPr="00071CCF">
          <w:rPr>
            <w:rStyle w:val="Hyperlink"/>
            <w:lang w:val="en"/>
          </w:rPr>
          <w:t>Restructuring, resolution and insolvency: shift of tasks from judicial to administrative authorities</w:t>
        </w:r>
      </w:hyperlink>
      <w:r w:rsidRPr="00126AB6">
        <w:rPr>
          <w:lang w:val="en-US"/>
        </w:rPr>
        <w:t xml:space="preserve">” </w:t>
      </w:r>
      <w:r>
        <w:rPr>
          <w:lang w:val="en-US"/>
        </w:rPr>
        <w:t>–</w:t>
      </w:r>
      <w:r w:rsidRPr="00126AB6">
        <w:rPr>
          <w:lang w:val="en-US"/>
        </w:rPr>
        <w:t xml:space="preserve"> </w:t>
      </w:r>
      <w:r>
        <w:rPr>
          <w:lang w:val="en-US"/>
        </w:rPr>
        <w:t xml:space="preserve">Discussant Remarks </w:t>
      </w:r>
      <w:r w:rsidRPr="00126AB6">
        <w:rPr>
          <w:lang w:val="en-US"/>
        </w:rPr>
        <w:t>by Pentti Hakkarainen, Member of the Supervisory Board of the ECB, at the ECB Legal Conference</w:t>
      </w:r>
      <w:r>
        <w:rPr>
          <w:lang w:val="en-US"/>
        </w:rPr>
        <w:t>, Frankfurt</w:t>
      </w:r>
    </w:p>
    <w:p w:rsidR="00573875" w:rsidRPr="00126AB6" w:rsidRDefault="00573875" w:rsidP="00573875">
      <w:pPr>
        <w:spacing w:after="360"/>
        <w:rPr>
          <w:lang w:val="en-US"/>
        </w:rPr>
      </w:pPr>
      <w:r>
        <w:rPr>
          <w:b/>
          <w:lang w:val="en-US"/>
        </w:rPr>
        <w:t>6</w:t>
      </w:r>
      <w:r w:rsidRPr="00856F57">
        <w:rPr>
          <w:b/>
          <w:lang w:val="en-US"/>
        </w:rPr>
        <w:t xml:space="preserve"> September 2017</w:t>
      </w:r>
      <w:r w:rsidRPr="00856F57">
        <w:rPr>
          <w:lang w:val="en-US"/>
        </w:rPr>
        <w:t xml:space="preserve"> – </w:t>
      </w:r>
      <w:r>
        <w:rPr>
          <w:lang w:val="en-US"/>
        </w:rPr>
        <w:t>“</w:t>
      </w:r>
      <w:hyperlink r:id="rId25" w:history="1">
        <w:r w:rsidRPr="00126AB6">
          <w:rPr>
            <w:rStyle w:val="Hyperlink"/>
            <w:lang w:val="en-US"/>
          </w:rPr>
          <w:t>A penny for your thoughts – what’s on the mind of a supervisor?</w:t>
        </w:r>
      </w:hyperlink>
      <w:r>
        <w:rPr>
          <w:lang w:val="en-US"/>
        </w:rPr>
        <w:t xml:space="preserve">” - </w:t>
      </w:r>
      <w:r w:rsidRPr="00126AB6">
        <w:rPr>
          <w:lang w:val="en-US"/>
        </w:rPr>
        <w:t xml:space="preserve">Speech by Danièle Nouy, Chair of the Supervisory Board of the ECB, at the Handelsblatt </w:t>
      </w:r>
      <w:r>
        <w:rPr>
          <w:lang w:val="en-US"/>
        </w:rPr>
        <w:t>conference “Banken im Umbruch”</w:t>
      </w:r>
    </w:p>
    <w:p w:rsidR="00573875" w:rsidRDefault="00573875" w:rsidP="00573875">
      <w:pPr>
        <w:spacing w:after="360"/>
        <w:rPr>
          <w:lang w:val="en-US"/>
        </w:rPr>
      </w:pPr>
      <w:r>
        <w:rPr>
          <w:b/>
          <w:lang w:val="en-US"/>
        </w:rPr>
        <w:t>15</w:t>
      </w:r>
      <w:r w:rsidRPr="00856F57">
        <w:rPr>
          <w:b/>
          <w:lang w:val="en-US"/>
        </w:rPr>
        <w:t xml:space="preserve"> September 2017</w:t>
      </w:r>
      <w:r w:rsidRPr="00856F57">
        <w:rPr>
          <w:lang w:val="en-US"/>
        </w:rPr>
        <w:t xml:space="preserve"> – </w:t>
      </w:r>
      <w:r>
        <w:rPr>
          <w:lang w:val="en-US"/>
        </w:rPr>
        <w:t>“</w:t>
      </w:r>
      <w:hyperlink r:id="rId26" w:history="1">
        <w:r w:rsidRPr="00126AB6">
          <w:rPr>
            <w:rStyle w:val="Hyperlink"/>
            <w:lang w:val="en-US"/>
          </w:rPr>
          <w:t>Gaming the rules or ruling the game? – How to deal with regulatory arbitrage</w:t>
        </w:r>
      </w:hyperlink>
      <w:r w:rsidRPr="00126AB6">
        <w:rPr>
          <w:lang w:val="en-US"/>
        </w:rPr>
        <w:t>” - Speech by Danièle Nouy, Chair of the Supervisory Board of the ECB, at the 33rd SUERF Colloquium, Helsinki</w:t>
      </w:r>
    </w:p>
    <w:p w:rsidR="00573875" w:rsidRPr="00FA77DF" w:rsidRDefault="00573875" w:rsidP="00573875">
      <w:pPr>
        <w:spacing w:after="360"/>
        <w:rPr>
          <w:b/>
          <w:bCs/>
          <w:lang w:val="en"/>
        </w:rPr>
      </w:pPr>
      <w:r>
        <w:rPr>
          <w:b/>
          <w:lang w:val="en"/>
        </w:rPr>
        <w:t>1</w:t>
      </w:r>
      <w:r>
        <w:rPr>
          <w:b/>
          <w:lang w:val="en-US"/>
        </w:rPr>
        <w:t>5</w:t>
      </w:r>
      <w:r w:rsidRPr="00856F57">
        <w:rPr>
          <w:b/>
          <w:lang w:val="en-US"/>
        </w:rPr>
        <w:t xml:space="preserve"> September 2017</w:t>
      </w:r>
      <w:r w:rsidRPr="00856F57">
        <w:rPr>
          <w:lang w:val="en-US"/>
        </w:rPr>
        <w:t xml:space="preserve"> – </w:t>
      </w:r>
      <w:r>
        <w:rPr>
          <w:lang w:val="en-US"/>
        </w:rPr>
        <w:t>“</w:t>
      </w:r>
      <w:hyperlink r:id="rId27" w:history="1">
        <w:r w:rsidRPr="00FA77DF">
          <w:rPr>
            <w:rStyle w:val="Hyperlink"/>
            <w:lang w:val="en-US"/>
          </w:rPr>
          <w:t>Banking supervision – is variety really the spice of life?</w:t>
        </w:r>
      </w:hyperlink>
      <w:r>
        <w:rPr>
          <w:lang w:val="en-US"/>
        </w:rPr>
        <w:t>” -</w:t>
      </w:r>
      <w:r w:rsidRPr="00FA77DF">
        <w:rPr>
          <w:lang w:val="en-US"/>
        </w:rPr>
        <w:t xml:space="preserve"> Statement by Sabine Lautenschläger, Member of the Executive Board of the ECB and Vice-Chair of the Supervisory Board of the ECB, at the Eurofi Financial Forum, Tallinn</w:t>
      </w:r>
    </w:p>
    <w:p w:rsidR="00573875" w:rsidRPr="003071CA" w:rsidRDefault="00573875" w:rsidP="00573875">
      <w:pPr>
        <w:spacing w:after="360"/>
        <w:rPr>
          <w:lang w:val="en-US"/>
        </w:rPr>
      </w:pPr>
      <w:r>
        <w:rPr>
          <w:b/>
          <w:lang w:val="en"/>
        </w:rPr>
        <w:t>18</w:t>
      </w:r>
      <w:r w:rsidRPr="00856F57">
        <w:rPr>
          <w:b/>
          <w:lang w:val="en-US"/>
        </w:rPr>
        <w:t xml:space="preserve"> September 2017</w:t>
      </w:r>
      <w:r w:rsidRPr="00856F57">
        <w:rPr>
          <w:lang w:val="en-US"/>
        </w:rPr>
        <w:t xml:space="preserve"> – </w:t>
      </w:r>
      <w:r>
        <w:rPr>
          <w:lang w:val="en-US"/>
        </w:rPr>
        <w:t>“</w:t>
      </w:r>
      <w:hyperlink r:id="rId28" w:history="1">
        <w:r w:rsidRPr="003071CA">
          <w:rPr>
            <w:rStyle w:val="Hyperlink"/>
            <w:lang w:val="en-US"/>
          </w:rPr>
          <w:t>Regulation, supervision and market discipline – striking a balance</w:t>
        </w:r>
      </w:hyperlink>
      <w:r>
        <w:rPr>
          <w:lang w:val="en-US"/>
        </w:rPr>
        <w:t xml:space="preserve">” - </w:t>
      </w:r>
      <w:r w:rsidRPr="003071CA">
        <w:rPr>
          <w:lang w:val="en-US"/>
        </w:rPr>
        <w:t>Statement by Sabine Lautenschläger, Member of the Executive Board of the ECB and Vice-Chair of the Supervisory Board of the ECB, at a conference hosted by the</w:t>
      </w:r>
      <w:r>
        <w:rPr>
          <w:lang w:val="en-US"/>
        </w:rPr>
        <w:t xml:space="preserve"> Financial Stability Institute</w:t>
      </w:r>
      <w:r w:rsidRPr="003071CA">
        <w:rPr>
          <w:lang w:val="en-US"/>
        </w:rPr>
        <w:t>,Basel</w:t>
      </w:r>
    </w:p>
    <w:p w:rsidR="00573875" w:rsidRDefault="00573875" w:rsidP="00573875">
      <w:pPr>
        <w:spacing w:after="360"/>
        <w:rPr>
          <w:lang w:val="en-US"/>
        </w:rPr>
      </w:pPr>
      <w:r>
        <w:rPr>
          <w:b/>
          <w:lang w:val="en-US"/>
        </w:rPr>
        <w:t>22</w:t>
      </w:r>
      <w:r w:rsidRPr="00856F57">
        <w:rPr>
          <w:b/>
          <w:lang w:val="en-US"/>
        </w:rPr>
        <w:t xml:space="preserve"> September 2017</w:t>
      </w:r>
      <w:r w:rsidRPr="00856F57">
        <w:rPr>
          <w:lang w:val="en-US"/>
        </w:rPr>
        <w:t xml:space="preserve"> – </w:t>
      </w:r>
      <w:r>
        <w:rPr>
          <w:lang w:val="en-US"/>
        </w:rPr>
        <w:t>“</w:t>
      </w:r>
      <w:hyperlink r:id="rId29" w:history="1">
        <w:r w:rsidRPr="003071CA">
          <w:rPr>
            <w:rStyle w:val="Hyperlink"/>
            <w:lang w:val="en"/>
          </w:rPr>
          <w:t>The challenges and future of banking in the EU</w:t>
        </w:r>
      </w:hyperlink>
      <w:r w:rsidRPr="00126AB6">
        <w:rPr>
          <w:lang w:val="en-US"/>
        </w:rPr>
        <w:t xml:space="preserve">” - </w:t>
      </w:r>
      <w:r w:rsidRPr="003071CA">
        <w:rPr>
          <w:lang w:val="en"/>
        </w:rPr>
        <w:t>Discussant Remarks by Pentti Hakkarainen, Member of the Supervisory Board of the ECB, at the ESRB Annual Conference, Frankfurt</w:t>
      </w:r>
    </w:p>
    <w:p w:rsidR="00573875" w:rsidRDefault="00573875" w:rsidP="00573875">
      <w:pPr>
        <w:spacing w:after="360"/>
        <w:rPr>
          <w:b/>
          <w:bCs/>
          <w:lang w:val="en"/>
        </w:rPr>
      </w:pPr>
      <w:r>
        <w:rPr>
          <w:b/>
          <w:lang w:val="en-US"/>
        </w:rPr>
        <w:lastRenderedPageBreak/>
        <w:t>22</w:t>
      </w:r>
      <w:r w:rsidRPr="00856F57">
        <w:rPr>
          <w:b/>
          <w:lang w:val="en-US"/>
        </w:rPr>
        <w:t xml:space="preserve"> September 2017</w:t>
      </w:r>
      <w:r w:rsidRPr="00856F57">
        <w:rPr>
          <w:lang w:val="en-US"/>
        </w:rPr>
        <w:t xml:space="preserve"> – </w:t>
      </w:r>
      <w:r>
        <w:rPr>
          <w:lang w:val="en-US"/>
        </w:rPr>
        <w:t>“</w:t>
      </w:r>
      <w:hyperlink r:id="rId30" w:history="1">
        <w:r w:rsidRPr="003071CA">
          <w:rPr>
            <w:rStyle w:val="Hyperlink"/>
            <w:lang w:val="en"/>
          </w:rPr>
          <w:t>The ECB and national supervisory authorities: cooperation and common challenges</w:t>
        </w:r>
      </w:hyperlink>
      <w:r w:rsidRPr="00126AB6">
        <w:rPr>
          <w:lang w:val="en-US"/>
        </w:rPr>
        <w:t xml:space="preserve">” </w:t>
      </w:r>
      <w:r>
        <w:rPr>
          <w:lang w:val="en-US"/>
        </w:rPr>
        <w:t>–</w:t>
      </w:r>
      <w:r w:rsidRPr="00126AB6">
        <w:rPr>
          <w:lang w:val="en-US"/>
        </w:rPr>
        <w:t xml:space="preserve"> </w:t>
      </w:r>
      <w:r>
        <w:rPr>
          <w:lang w:val="en-US"/>
        </w:rPr>
        <w:t xml:space="preserve">Speech by Ignazio Angeloni, </w:t>
      </w:r>
      <w:r w:rsidRPr="003071CA">
        <w:rPr>
          <w:lang w:val="en"/>
        </w:rPr>
        <w:t>Member of the Supervisory Board of the ECB, at the XXXI Convegno “Adolfo Beria di Argentine”, Courmayeur</w:t>
      </w:r>
    </w:p>
    <w:p w:rsidR="00573875" w:rsidRDefault="00573875" w:rsidP="00573875">
      <w:pPr>
        <w:spacing w:after="360"/>
        <w:rPr>
          <w:lang w:val="en"/>
        </w:rPr>
      </w:pPr>
      <w:r>
        <w:rPr>
          <w:b/>
          <w:lang w:val="en-US"/>
        </w:rPr>
        <w:t>27</w:t>
      </w:r>
      <w:r w:rsidRPr="00856F57">
        <w:rPr>
          <w:b/>
          <w:lang w:val="en-US"/>
        </w:rPr>
        <w:t xml:space="preserve"> September 2017</w:t>
      </w:r>
      <w:r w:rsidRPr="00856F57">
        <w:rPr>
          <w:lang w:val="en-US"/>
        </w:rPr>
        <w:t xml:space="preserve"> – </w:t>
      </w:r>
      <w:r>
        <w:rPr>
          <w:lang w:val="en-US"/>
        </w:rPr>
        <w:t>“</w:t>
      </w:r>
      <w:hyperlink r:id="rId31" w:history="1">
        <w:r w:rsidRPr="003071CA">
          <w:rPr>
            <w:rStyle w:val="Hyperlink"/>
            <w:lang w:val="en"/>
          </w:rPr>
          <w:t>Too much of a good thing? The need for consolidation in the European banking sector</w:t>
        </w:r>
      </w:hyperlink>
      <w:r w:rsidRPr="00126AB6">
        <w:rPr>
          <w:lang w:val="en-US"/>
        </w:rPr>
        <w:t xml:space="preserve">” - </w:t>
      </w:r>
      <w:r w:rsidRPr="003071CA">
        <w:rPr>
          <w:lang w:val="en"/>
        </w:rPr>
        <w:t>Speech by Danièle Nouy, Chair of the Supervisory Board of the ECB, at t</w:t>
      </w:r>
      <w:r>
        <w:rPr>
          <w:lang w:val="en"/>
        </w:rPr>
        <w:t>he VIII Financial Forum, Madrid</w:t>
      </w:r>
    </w:p>
    <w:p w:rsidR="00573875" w:rsidRPr="00071CCF" w:rsidRDefault="00573875" w:rsidP="00573875">
      <w:pPr>
        <w:spacing w:after="360"/>
        <w:rPr>
          <w:b/>
          <w:lang w:val="en"/>
        </w:rPr>
      </w:pPr>
      <w:r>
        <w:rPr>
          <w:b/>
          <w:lang w:val="en-US"/>
        </w:rPr>
        <w:t>28</w:t>
      </w:r>
      <w:r w:rsidRPr="00856F57">
        <w:rPr>
          <w:b/>
          <w:lang w:val="en-US"/>
        </w:rPr>
        <w:t xml:space="preserve"> September 2017</w:t>
      </w:r>
      <w:r w:rsidRPr="00856F57">
        <w:rPr>
          <w:lang w:val="en-US"/>
        </w:rPr>
        <w:t xml:space="preserve"> – </w:t>
      </w:r>
      <w:r>
        <w:rPr>
          <w:lang w:val="en-US"/>
        </w:rPr>
        <w:t>“</w:t>
      </w:r>
      <w:hyperlink r:id="rId32" w:history="1">
        <w:r w:rsidRPr="00071CCF">
          <w:rPr>
            <w:rStyle w:val="Hyperlink"/>
            <w:lang w:val="en"/>
          </w:rPr>
          <w:t>European banking supervision – achievements, challenges and the way forward</w:t>
        </w:r>
      </w:hyperlink>
      <w:r w:rsidRPr="00126AB6">
        <w:rPr>
          <w:lang w:val="en-US"/>
        </w:rPr>
        <w:t xml:space="preserve">” </w:t>
      </w:r>
      <w:r>
        <w:rPr>
          <w:lang w:val="en-US"/>
        </w:rPr>
        <w:t>–</w:t>
      </w:r>
      <w:r>
        <w:rPr>
          <w:lang w:val="en"/>
        </w:rPr>
        <w:t xml:space="preserve"> </w:t>
      </w:r>
      <w:r w:rsidRPr="00071CCF">
        <w:rPr>
          <w:lang w:val="en"/>
        </w:rPr>
        <w:t>Speech by Sabine Lautenschläger, Member of the Executive Board of the ECB and Vice-Chair of the Supervisory Board of the ECB, at the ESE Conference 2017, Vienna</w:t>
      </w:r>
    </w:p>
    <w:p w:rsidR="00573875" w:rsidRPr="00071CCF" w:rsidRDefault="00573875" w:rsidP="00573875">
      <w:pPr>
        <w:spacing w:after="360"/>
        <w:rPr>
          <w:lang w:val="en"/>
        </w:rPr>
      </w:pPr>
      <w:r>
        <w:rPr>
          <w:b/>
          <w:lang w:val="en-US"/>
        </w:rPr>
        <w:t>29</w:t>
      </w:r>
      <w:r w:rsidRPr="00856F57">
        <w:rPr>
          <w:b/>
          <w:lang w:val="en-US"/>
        </w:rPr>
        <w:t xml:space="preserve"> September 2017</w:t>
      </w:r>
      <w:r w:rsidRPr="00856F57">
        <w:rPr>
          <w:lang w:val="en-US"/>
        </w:rPr>
        <w:t xml:space="preserve"> – </w:t>
      </w:r>
      <w:r>
        <w:rPr>
          <w:lang w:val="en-US"/>
        </w:rPr>
        <w:t>“</w:t>
      </w:r>
      <w:hyperlink r:id="rId33" w:history="1">
        <w:r w:rsidRPr="00071CCF">
          <w:rPr>
            <w:rStyle w:val="Hyperlink"/>
            <w:lang w:val="en"/>
          </w:rPr>
          <w:t>Banking union, three years on – has it lived up to its promises?</w:t>
        </w:r>
      </w:hyperlink>
      <w:r w:rsidRPr="00126AB6">
        <w:rPr>
          <w:lang w:val="en-US"/>
        </w:rPr>
        <w:t xml:space="preserve">” - </w:t>
      </w:r>
      <w:r w:rsidRPr="00071CCF">
        <w:rPr>
          <w:lang w:val="en"/>
        </w:rPr>
        <w:t>Statement by Danièle Nouy, Chair of the Supervisory Board of the ECB, at the Single Resolution Board Conference, Brussels</w:t>
      </w:r>
    </w:p>
    <w:p w:rsidR="00573875" w:rsidRDefault="00573875" w:rsidP="00573875">
      <w:pPr>
        <w:pStyle w:val="Heading3"/>
        <w:spacing w:line="240" w:lineRule="auto"/>
        <w:rPr>
          <w:bCs/>
          <w:lang w:val="en-US"/>
        </w:rPr>
      </w:pPr>
      <w:r>
        <w:rPr>
          <w:bCs/>
          <w:lang w:val="en-US"/>
        </w:rPr>
        <w:t>Regulatory developments</w:t>
      </w:r>
    </w:p>
    <w:p w:rsidR="00573875" w:rsidRDefault="00573875" w:rsidP="00573875">
      <w:pPr>
        <w:spacing w:after="360"/>
        <w:rPr>
          <w:b/>
          <w:bCs/>
          <w:lang w:val="en"/>
        </w:rPr>
      </w:pPr>
      <w:r>
        <w:rPr>
          <w:b/>
          <w:lang w:val="en-US"/>
        </w:rPr>
        <w:t>19</w:t>
      </w:r>
      <w:r w:rsidRPr="009F72F0">
        <w:rPr>
          <w:b/>
          <w:lang w:val="en-US"/>
        </w:rPr>
        <w:t xml:space="preserve"> September 2017</w:t>
      </w:r>
      <w:r w:rsidRPr="009F72F0">
        <w:rPr>
          <w:lang w:val="en-US"/>
        </w:rPr>
        <w:t xml:space="preserve"> –</w:t>
      </w:r>
      <w:r>
        <w:rPr>
          <w:lang w:val="en-US"/>
        </w:rPr>
        <w:t xml:space="preserve"> Publications of the </w:t>
      </w:r>
      <w:hyperlink r:id="rId34" w:history="1">
        <w:r w:rsidRPr="009F72F0">
          <w:rPr>
            <w:rStyle w:val="Hyperlink"/>
            <w:lang w:val="en-US"/>
          </w:rPr>
          <w:t>Regulation (EU) 2017/1538 of the European Central Bank of 25 August 2017</w:t>
        </w:r>
      </w:hyperlink>
      <w:r w:rsidRPr="009F72F0">
        <w:rPr>
          <w:lang w:val="en-US"/>
        </w:rPr>
        <w:t xml:space="preserve"> amending Regulation (EU) 2015/534 on reporting of supervisory financial information (ECB/2017/25)</w:t>
      </w:r>
      <w:r w:rsidRPr="009F72F0">
        <w:rPr>
          <w:b/>
          <w:bCs/>
          <w:lang w:val="en"/>
        </w:rPr>
        <w:t xml:space="preserve"> </w:t>
      </w:r>
    </w:p>
    <w:p w:rsidR="00573875" w:rsidRDefault="00573875" w:rsidP="00573875">
      <w:pPr>
        <w:spacing w:after="360"/>
        <w:rPr>
          <w:lang w:val="en-US"/>
        </w:rPr>
      </w:pPr>
      <w:r>
        <w:rPr>
          <w:b/>
          <w:lang w:val="en-US"/>
        </w:rPr>
        <w:t>19</w:t>
      </w:r>
      <w:r w:rsidRPr="009F72F0">
        <w:rPr>
          <w:b/>
          <w:lang w:val="en-US"/>
        </w:rPr>
        <w:t xml:space="preserve"> September 2017</w:t>
      </w:r>
      <w:r w:rsidRPr="009F72F0">
        <w:rPr>
          <w:lang w:val="en-US"/>
        </w:rPr>
        <w:t xml:space="preserve"> –</w:t>
      </w:r>
      <w:r>
        <w:rPr>
          <w:lang w:val="en-US"/>
        </w:rPr>
        <w:t xml:space="preserve"> Publications of the </w:t>
      </w:r>
      <w:hyperlink r:id="rId35" w:history="1">
        <w:r w:rsidRPr="009F72F0">
          <w:rPr>
            <w:rStyle w:val="Hyperlink"/>
            <w:lang w:val="en-US"/>
          </w:rPr>
          <w:t>Regulation (EU) 2017/1539 of the European Central Bank of 25 August 2017</w:t>
        </w:r>
      </w:hyperlink>
      <w:r w:rsidRPr="009F72F0">
        <w:rPr>
          <w:lang w:val="en-US"/>
        </w:rPr>
        <w:t xml:space="preserve"> laying down the date of application of Regulation (EU) 2017/1538 amending Regulation (EU) 2015/534 on reporting of supervisory financial information (ECB/2017/25) to less significant supervised entities which are subject to national accounting frameworks (ECB/2017/26)</w:t>
      </w:r>
    </w:p>
    <w:p w:rsidR="00573875" w:rsidRDefault="00573875" w:rsidP="00573875">
      <w:pPr>
        <w:spacing w:after="360"/>
        <w:rPr>
          <w:lang w:val="en-US"/>
        </w:rPr>
      </w:pPr>
      <w:r>
        <w:rPr>
          <w:b/>
          <w:lang w:val="en-US"/>
        </w:rPr>
        <w:t>19</w:t>
      </w:r>
      <w:r w:rsidRPr="009F72F0">
        <w:rPr>
          <w:b/>
          <w:lang w:val="en-US"/>
        </w:rPr>
        <w:t xml:space="preserve"> September 2017</w:t>
      </w:r>
      <w:r w:rsidRPr="009F72F0">
        <w:rPr>
          <w:lang w:val="en-US"/>
        </w:rPr>
        <w:t xml:space="preserve"> –</w:t>
      </w:r>
      <w:r>
        <w:rPr>
          <w:lang w:val="en-US"/>
        </w:rPr>
        <w:t xml:space="preserve"> Publication of the </w:t>
      </w:r>
      <w:hyperlink r:id="rId36" w:history="1">
        <w:r w:rsidRPr="000D6B47">
          <w:rPr>
            <w:rStyle w:val="Hyperlink"/>
            <w:lang w:val="en-US"/>
          </w:rPr>
          <w:t>Corrigendum to Commission Delegated Regulation (EU) 2017/565 of 25 April 2016</w:t>
        </w:r>
      </w:hyperlink>
      <w:r>
        <w:rPr>
          <w:lang w:val="en-US"/>
        </w:rPr>
        <w:t xml:space="preserve"> </w:t>
      </w:r>
      <w:r w:rsidRPr="00071CCF">
        <w:rPr>
          <w:lang w:val="en-US"/>
        </w:rPr>
        <w:t>supplementing Directive 2014/65/EU of the European Parliament and of the Council as regards organisational requirements and operating conditions for investment firms and defined terms for the purposes of that Directive</w:t>
      </w:r>
    </w:p>
    <w:p w:rsidR="00573875" w:rsidRDefault="00573875" w:rsidP="00573875">
      <w:pPr>
        <w:pStyle w:val="Heading2"/>
        <w:rPr>
          <w:lang w:val="en-US"/>
        </w:rPr>
      </w:pPr>
      <w:r w:rsidRPr="00A73985">
        <w:rPr>
          <w:lang w:val="en-US"/>
        </w:rPr>
        <w:t xml:space="preserve">European </w:t>
      </w:r>
      <w:r>
        <w:rPr>
          <w:lang w:val="en-US"/>
        </w:rPr>
        <w:t>Commission</w:t>
      </w:r>
    </w:p>
    <w:p w:rsidR="00573875" w:rsidRDefault="00573875" w:rsidP="00573875">
      <w:pPr>
        <w:pStyle w:val="Heading3"/>
        <w:rPr>
          <w:bCs/>
          <w:lang w:val="en-US"/>
        </w:rPr>
      </w:pPr>
      <w:r w:rsidRPr="00856F57">
        <w:rPr>
          <w:bCs/>
          <w:lang w:val="en-US"/>
        </w:rPr>
        <w:t>Publications</w:t>
      </w:r>
    </w:p>
    <w:p w:rsidR="00573875" w:rsidRPr="00573875" w:rsidRDefault="00573875" w:rsidP="00573875">
      <w:pPr>
        <w:spacing w:after="0"/>
        <w:rPr>
          <w:b/>
          <w:bCs/>
          <w:lang w:val="en-US"/>
        </w:rPr>
      </w:pPr>
      <w:r w:rsidRPr="00573875">
        <w:rPr>
          <w:b/>
          <w:bCs/>
          <w:lang w:val="en-US"/>
        </w:rPr>
        <w:t xml:space="preserve">20 September 2017 – </w:t>
      </w:r>
      <w:hyperlink r:id="rId37" w:history="1">
        <w:r w:rsidRPr="00573875">
          <w:rPr>
            <w:rStyle w:val="Hyperlink"/>
            <w:lang w:val="en-US"/>
          </w:rPr>
          <w:t>EU Commission released proposals to improve the mandates, governance and funding of the ESAs</w:t>
        </w:r>
      </w:hyperlink>
    </w:p>
    <w:p w:rsidR="00573875" w:rsidRPr="00573875" w:rsidRDefault="00CD45BF" w:rsidP="00573875">
      <w:pPr>
        <w:spacing w:after="0"/>
        <w:rPr>
          <w:lang w:val="en-US"/>
        </w:rPr>
      </w:pPr>
      <w:hyperlink r:id="rId38" w:history="1">
        <w:r w:rsidR="00573875" w:rsidRPr="00573875">
          <w:rPr>
            <w:lang w:val="en-US"/>
          </w:rPr>
          <w:t>The European Commission has released proposals to improve the mandates, governance and funding of the ESAs</w:t>
        </w:r>
      </w:hyperlink>
      <w:r w:rsidR="00573875" w:rsidRPr="00573875">
        <w:rPr>
          <w:lang w:val="en-US"/>
        </w:rPr>
        <w:t xml:space="preserve">. The key features of the proposals are the following: (i) stronger coordination of supervision across the EU; (ii) extended direct capital markets supervision by ESMA – especially in the fields of capital market data, capital market entry, capital market actors and market abuses cases; (iii) improved governance and funding of the ESAs; and (iv) promoting sustainable finance and FinTech. Alongside these proposals, the Commission also announced plans to align the regulatory and supervisory treatment of certain large investment firms with the one applying to large credit institutions. </w:t>
      </w:r>
    </w:p>
    <w:p w:rsidR="00573875" w:rsidRPr="00856F57" w:rsidRDefault="00573875" w:rsidP="00573875">
      <w:pPr>
        <w:spacing w:after="360"/>
        <w:rPr>
          <w:lang w:val="en-US"/>
        </w:rPr>
      </w:pPr>
      <w:r w:rsidRPr="00573875">
        <w:rPr>
          <w:lang w:val="en-US"/>
        </w:rPr>
        <w:t xml:space="preserve">See also the </w:t>
      </w:r>
      <w:hyperlink r:id="rId39" w:history="1">
        <w:r w:rsidRPr="00573875">
          <w:rPr>
            <w:rStyle w:val="Hyperlink"/>
            <w:lang w:val="en-US"/>
          </w:rPr>
          <w:t>EBA</w:t>
        </w:r>
      </w:hyperlink>
      <w:r w:rsidRPr="00573875">
        <w:rPr>
          <w:lang w:val="en-US"/>
        </w:rPr>
        <w:t xml:space="preserve"> and </w:t>
      </w:r>
      <w:hyperlink r:id="rId40" w:history="1">
        <w:r w:rsidRPr="00573875">
          <w:rPr>
            <w:rStyle w:val="Hyperlink"/>
            <w:lang w:val="en-US"/>
          </w:rPr>
          <w:t>ESMA public statements on the EU Commission proposals</w:t>
        </w:r>
      </w:hyperlink>
      <w:r w:rsidRPr="00573875">
        <w:rPr>
          <w:lang w:val="en-US"/>
        </w:rPr>
        <w:t>.</w:t>
      </w:r>
    </w:p>
    <w:p w:rsidR="008E4D30" w:rsidRDefault="008E4D30">
      <w:pPr>
        <w:spacing w:before="0" w:after="0" w:line="240" w:lineRule="auto"/>
        <w:jc w:val="left"/>
        <w:rPr>
          <w:rFonts w:eastAsiaTheme="majorEastAsia" w:cstheme="majorBidi"/>
          <w:b/>
          <w:color w:val="1F4E79" w:themeColor="accent1" w:themeShade="80"/>
          <w:sz w:val="24"/>
          <w:szCs w:val="26"/>
          <w:lang w:val="en-US"/>
        </w:rPr>
      </w:pPr>
      <w:r>
        <w:rPr>
          <w:lang w:val="en-US"/>
        </w:rPr>
        <w:br w:type="page"/>
      </w:r>
    </w:p>
    <w:p w:rsidR="00573875" w:rsidRDefault="00573875" w:rsidP="00573875">
      <w:pPr>
        <w:pStyle w:val="Heading2"/>
        <w:rPr>
          <w:lang w:val="en-US"/>
        </w:rPr>
      </w:pPr>
      <w:r w:rsidRPr="00A73985">
        <w:rPr>
          <w:lang w:val="en-US"/>
        </w:rPr>
        <w:lastRenderedPageBreak/>
        <w:t xml:space="preserve">European </w:t>
      </w:r>
      <w:r>
        <w:rPr>
          <w:lang w:val="en-US"/>
        </w:rPr>
        <w:t>Banking Authority (EBA)</w:t>
      </w:r>
    </w:p>
    <w:p w:rsidR="00573875" w:rsidRPr="00856F57" w:rsidRDefault="00573875" w:rsidP="00573875">
      <w:pPr>
        <w:pStyle w:val="Heading3"/>
        <w:rPr>
          <w:bCs/>
          <w:lang w:val="en-US"/>
        </w:rPr>
      </w:pPr>
      <w:r>
        <w:rPr>
          <w:bCs/>
          <w:lang w:val="en-US"/>
        </w:rPr>
        <w:t>Publications</w:t>
      </w:r>
    </w:p>
    <w:p w:rsidR="00573875" w:rsidRPr="00856F57" w:rsidRDefault="00573875" w:rsidP="00573875">
      <w:pPr>
        <w:rPr>
          <w:b/>
          <w:bCs/>
          <w:sz w:val="22"/>
          <w:u w:val="single"/>
          <w:lang w:val="en-US"/>
        </w:rPr>
      </w:pPr>
      <w:r w:rsidRPr="00856F57">
        <w:rPr>
          <w:b/>
          <w:bCs/>
          <w:sz w:val="22"/>
          <w:u w:val="single"/>
          <w:lang w:val="en-US"/>
        </w:rPr>
        <w:t>Capital Requirements Directive and Regulation</w:t>
      </w:r>
    </w:p>
    <w:p w:rsidR="00573875" w:rsidRPr="00B02CA3" w:rsidRDefault="00573875" w:rsidP="00573875">
      <w:pPr>
        <w:spacing w:after="0"/>
        <w:rPr>
          <w:lang w:val="en-US"/>
        </w:rPr>
      </w:pPr>
      <w:r>
        <w:rPr>
          <w:b/>
          <w:lang w:val="en-US"/>
        </w:rPr>
        <w:t>11</w:t>
      </w:r>
      <w:r w:rsidRPr="00856F57">
        <w:rPr>
          <w:b/>
          <w:lang w:val="en-US"/>
        </w:rPr>
        <w:t xml:space="preserve"> September 2017</w:t>
      </w:r>
      <w:r w:rsidRPr="00856F57">
        <w:rPr>
          <w:lang w:val="en-US"/>
        </w:rPr>
        <w:t xml:space="preserve"> – </w:t>
      </w:r>
      <w:hyperlink r:id="rId41" w:history="1">
        <w:r w:rsidRPr="00B02CA3">
          <w:rPr>
            <w:rStyle w:val="Hyperlink"/>
            <w:lang w:val="en-US"/>
          </w:rPr>
          <w:t>EBA issues revised list of ITS validation rules</w:t>
        </w:r>
      </w:hyperlink>
    </w:p>
    <w:p w:rsidR="00573875" w:rsidRPr="00B02CA3" w:rsidRDefault="00573875" w:rsidP="00573875">
      <w:pPr>
        <w:spacing w:after="360"/>
        <w:rPr>
          <w:lang w:val="en-US"/>
        </w:rPr>
      </w:pPr>
      <w:r>
        <w:rPr>
          <w:lang w:val="en-US"/>
        </w:rPr>
        <w:t xml:space="preserve">The European Banking Authority (EBA) has </w:t>
      </w:r>
      <w:r w:rsidRPr="00B02CA3">
        <w:rPr>
          <w:lang w:val="en-US"/>
        </w:rPr>
        <w:t xml:space="preserve">issued a revised list of validation rules in </w:t>
      </w:r>
      <w:r>
        <w:rPr>
          <w:lang w:val="en-US"/>
        </w:rPr>
        <w:t>its</w:t>
      </w:r>
      <w:r w:rsidRPr="00B02CA3">
        <w:rPr>
          <w:lang w:val="en-US"/>
        </w:rPr>
        <w:t xml:space="preserve"> implementing technical standards </w:t>
      </w:r>
      <w:r>
        <w:rPr>
          <w:lang w:val="en-US"/>
        </w:rPr>
        <w:t>(</w:t>
      </w:r>
      <w:r w:rsidRPr="00B02CA3">
        <w:rPr>
          <w:lang w:val="en-US"/>
        </w:rPr>
        <w:t>ITS</w:t>
      </w:r>
      <w:r>
        <w:rPr>
          <w:lang w:val="en-US"/>
        </w:rPr>
        <w:t>)</w:t>
      </w:r>
      <w:r w:rsidRPr="00B02CA3">
        <w:rPr>
          <w:lang w:val="en-US"/>
        </w:rPr>
        <w:t xml:space="preserve"> on supervisory reporting, highlighting those which have been deactivated either for incorrectness or for trigge</w:t>
      </w:r>
      <w:r>
        <w:rPr>
          <w:lang w:val="en-US"/>
        </w:rPr>
        <w:t>ring IT problems.</w:t>
      </w:r>
    </w:p>
    <w:p w:rsidR="00573875" w:rsidRPr="00427021" w:rsidRDefault="00573875" w:rsidP="00573875">
      <w:pPr>
        <w:spacing w:after="0"/>
        <w:rPr>
          <w:u w:val="single"/>
          <w:lang w:val="en-US"/>
        </w:rPr>
      </w:pPr>
      <w:r>
        <w:rPr>
          <w:b/>
          <w:lang w:val="en-US"/>
        </w:rPr>
        <w:t>12</w:t>
      </w:r>
      <w:r w:rsidRPr="00856F57">
        <w:rPr>
          <w:b/>
          <w:lang w:val="en-US"/>
        </w:rPr>
        <w:t xml:space="preserve"> September 2017</w:t>
      </w:r>
      <w:r w:rsidRPr="00856F57">
        <w:rPr>
          <w:lang w:val="en-US"/>
        </w:rPr>
        <w:t xml:space="preserve"> – </w:t>
      </w:r>
      <w:hyperlink r:id="rId42" w:history="1">
        <w:r w:rsidRPr="00427021">
          <w:rPr>
            <w:rStyle w:val="Hyperlink"/>
            <w:lang w:val="en-US"/>
          </w:rPr>
          <w:t>The EBA CRDIV CRR Basel III monitoring exercise shows further improvement of EU banks capital leverage and liquidity ratios</w:t>
        </w:r>
      </w:hyperlink>
    </w:p>
    <w:p w:rsidR="00573875" w:rsidRDefault="00573875" w:rsidP="00573875">
      <w:pPr>
        <w:spacing w:after="360"/>
        <w:rPr>
          <w:lang w:val="en-US"/>
        </w:rPr>
      </w:pPr>
      <w:r w:rsidRPr="00427021">
        <w:rPr>
          <w:lang w:val="en-US"/>
        </w:rPr>
        <w:t xml:space="preserve">The </w:t>
      </w:r>
      <w:r>
        <w:rPr>
          <w:lang w:val="en-US"/>
        </w:rPr>
        <w:t xml:space="preserve">EBA has </w:t>
      </w:r>
      <w:r w:rsidRPr="00427021">
        <w:rPr>
          <w:lang w:val="en-US"/>
        </w:rPr>
        <w:t xml:space="preserve">published its twelfth Report of the CRDIV-CRR/Basel III monitoring exercise on the European banking system. This exercise presents aggregate data on EU banks’ capital, leverage, and liquidity ratios assuming full implementation of the CRD IV-CRR/Basel III framework. Overall, the results, based on data as of 31 December 2016, show a further improvement of European banks' capital positions, with a total average Common Equity Tier 1 (CET1) ratio of 13.4% (12.8% as of 30 June 2016). </w:t>
      </w:r>
      <w:r w:rsidRPr="008E1485">
        <w:rPr>
          <w:lang w:val="en-US"/>
        </w:rPr>
        <w:t>In terms of risk-weighted capital, the exercise estimated relatively low shortfalls of CET1 capital. The analysis of leverage ratio (LR) shows that there has been a continuous increase in recent periods</w:t>
      </w:r>
      <w:r>
        <w:rPr>
          <w:lang w:val="en-US"/>
        </w:rPr>
        <w:t xml:space="preserve">. </w:t>
      </w:r>
      <w:r w:rsidRPr="00427021">
        <w:rPr>
          <w:lang w:val="en-US"/>
        </w:rPr>
        <w:t>This exercise does not reflect any BCBS standards agreed since the beginning of 2016 or any other measures currently being considered by the BCBS.</w:t>
      </w:r>
    </w:p>
    <w:p w:rsidR="00573875" w:rsidRDefault="00573875" w:rsidP="00573875">
      <w:pPr>
        <w:spacing w:after="0"/>
        <w:rPr>
          <w:lang w:val="en-US"/>
        </w:rPr>
      </w:pPr>
      <w:r>
        <w:rPr>
          <w:b/>
          <w:lang w:val="en-US"/>
        </w:rPr>
        <w:t>26</w:t>
      </w:r>
      <w:r w:rsidRPr="00856F57">
        <w:rPr>
          <w:b/>
          <w:lang w:val="en-US"/>
        </w:rPr>
        <w:t xml:space="preserve"> September 2017</w:t>
      </w:r>
      <w:r w:rsidRPr="00856F57">
        <w:rPr>
          <w:lang w:val="en-US"/>
        </w:rPr>
        <w:t xml:space="preserve"> – </w:t>
      </w:r>
      <w:hyperlink r:id="rId43" w:history="1">
        <w:r w:rsidRPr="00B02CA3">
          <w:rPr>
            <w:rStyle w:val="Hyperlink"/>
            <w:lang w:val="en-US"/>
          </w:rPr>
          <w:t>EBA publishes guidance to further harmonise EU banks internal governance</w:t>
        </w:r>
      </w:hyperlink>
    </w:p>
    <w:p w:rsidR="00573875" w:rsidRDefault="00573875" w:rsidP="00573875">
      <w:pPr>
        <w:spacing w:after="360"/>
        <w:rPr>
          <w:lang w:val="en-US"/>
        </w:rPr>
      </w:pPr>
      <w:r w:rsidRPr="00B02CA3">
        <w:rPr>
          <w:lang w:val="en-US"/>
        </w:rPr>
        <w:t>The EBA has published its revised Guidelines</w:t>
      </w:r>
      <w:r>
        <w:rPr>
          <w:lang w:val="en-US"/>
        </w:rPr>
        <w:t xml:space="preserve"> on Internal Governance. These updated g</w:t>
      </w:r>
      <w:r w:rsidRPr="00B02CA3">
        <w:rPr>
          <w:lang w:val="en-US"/>
        </w:rPr>
        <w:t>uidelines</w:t>
      </w:r>
      <w:r>
        <w:rPr>
          <w:lang w:val="en-US"/>
        </w:rPr>
        <w:t>, which have been developed according to</w:t>
      </w:r>
      <w:r w:rsidRPr="008A20CD">
        <w:rPr>
          <w:rFonts w:cs="Arial"/>
          <w:color w:val="303A40"/>
          <w:sz w:val="18"/>
          <w:szCs w:val="18"/>
          <w:lang w:val="en-US"/>
        </w:rPr>
        <w:t xml:space="preserve"> </w:t>
      </w:r>
      <w:r w:rsidRPr="008A20CD">
        <w:rPr>
          <w:lang w:val="en-US"/>
        </w:rPr>
        <w:t>Article 74(</w:t>
      </w:r>
      <w:r>
        <w:rPr>
          <w:lang w:val="en-US"/>
        </w:rPr>
        <w:t>3</w:t>
      </w:r>
      <w:r w:rsidRPr="008A20CD">
        <w:rPr>
          <w:lang w:val="en-US"/>
        </w:rPr>
        <w:t xml:space="preserve">) of </w:t>
      </w:r>
      <w:r>
        <w:rPr>
          <w:lang w:val="en-US"/>
        </w:rPr>
        <w:t>the CRD IV,</w:t>
      </w:r>
      <w:r w:rsidRPr="00B02CA3">
        <w:rPr>
          <w:lang w:val="en-US"/>
        </w:rPr>
        <w:t xml:space="preserve"> aim at further harmonising institutions' internal governance arrangements, processes and mechanisms across the EU, in line with the new requirements in this area introduced in the </w:t>
      </w:r>
      <w:r>
        <w:rPr>
          <w:lang w:val="en-US"/>
        </w:rPr>
        <w:t>CRD IV</w:t>
      </w:r>
      <w:r w:rsidRPr="00B02CA3">
        <w:rPr>
          <w:lang w:val="en-US"/>
        </w:rPr>
        <w:t xml:space="preserve"> and also taking into account</w:t>
      </w:r>
      <w:r>
        <w:rPr>
          <w:lang w:val="en-US"/>
        </w:rPr>
        <w:t xml:space="preserve"> the proportionality principle. </w:t>
      </w:r>
      <w:r w:rsidRPr="00D47FE2">
        <w:rPr>
          <w:lang w:val="en-US"/>
        </w:rPr>
        <w:t>The updated guidelines put more emphasis on the duties and responsibilities of the management body in its risk oversight function, clarifying the role of their committees.</w:t>
      </w:r>
    </w:p>
    <w:p w:rsidR="00573875" w:rsidRPr="008A20CD" w:rsidRDefault="00573875" w:rsidP="00573875">
      <w:pPr>
        <w:rPr>
          <w:b/>
          <w:bCs/>
          <w:sz w:val="22"/>
          <w:u w:val="single"/>
          <w:lang w:val="en-US"/>
        </w:rPr>
      </w:pPr>
      <w:r>
        <w:rPr>
          <w:b/>
          <w:bCs/>
          <w:sz w:val="22"/>
          <w:u w:val="single"/>
          <w:lang w:val="en-US"/>
        </w:rPr>
        <w:t>Bank Recovery and Resolution Directive</w:t>
      </w:r>
    </w:p>
    <w:p w:rsidR="00573875" w:rsidRPr="00427021" w:rsidRDefault="00573875" w:rsidP="00573875">
      <w:pPr>
        <w:spacing w:after="0"/>
        <w:rPr>
          <w:u w:val="single"/>
          <w:lang w:val="en-US"/>
        </w:rPr>
      </w:pPr>
      <w:r>
        <w:rPr>
          <w:b/>
          <w:lang w:val="en-US"/>
        </w:rPr>
        <w:t>5</w:t>
      </w:r>
      <w:r w:rsidRPr="00856F57">
        <w:rPr>
          <w:b/>
          <w:lang w:val="en-US"/>
        </w:rPr>
        <w:t xml:space="preserve"> September 2017</w:t>
      </w:r>
      <w:r w:rsidRPr="00856F57">
        <w:rPr>
          <w:lang w:val="en-US"/>
        </w:rPr>
        <w:t xml:space="preserve"> – </w:t>
      </w:r>
      <w:hyperlink r:id="rId44" w:history="1">
        <w:r w:rsidRPr="00856F57">
          <w:rPr>
            <w:rStyle w:val="Hyperlink"/>
            <w:lang w:val="en-US"/>
          </w:rPr>
          <w:t>EBA publishes final technical standards on MREL reporting by resolution authorities</w:t>
        </w:r>
      </w:hyperlink>
    </w:p>
    <w:p w:rsidR="00573875" w:rsidRDefault="00573875" w:rsidP="00573875">
      <w:pPr>
        <w:spacing w:after="360"/>
        <w:rPr>
          <w:lang w:val="en-US"/>
        </w:rPr>
      </w:pPr>
      <w:r w:rsidRPr="00B02CA3">
        <w:rPr>
          <w:lang w:val="en-US"/>
        </w:rPr>
        <w:t xml:space="preserve">The </w:t>
      </w:r>
      <w:r>
        <w:rPr>
          <w:lang w:val="en-US"/>
        </w:rPr>
        <w:t>EBA has</w:t>
      </w:r>
      <w:r w:rsidRPr="00B02CA3">
        <w:rPr>
          <w:lang w:val="en-US"/>
        </w:rPr>
        <w:t xml:space="preserve"> published its final draft </w:t>
      </w:r>
      <w:r>
        <w:rPr>
          <w:lang w:val="en-US"/>
        </w:rPr>
        <w:t>ITS</w:t>
      </w:r>
      <w:r w:rsidRPr="00B02CA3">
        <w:rPr>
          <w:lang w:val="en-US"/>
        </w:rPr>
        <w:t xml:space="preserve"> specifying templates and procedures resolution authorities should follow when informing the EBA of the minimum requirement for own funds and eligible liabilities (MREL) that have been set for institutions under their jurisdiction. These standards</w:t>
      </w:r>
      <w:r>
        <w:rPr>
          <w:lang w:val="en-US"/>
        </w:rPr>
        <w:t>,</w:t>
      </w:r>
      <w:r w:rsidRPr="00B02CA3">
        <w:rPr>
          <w:lang w:val="en-US"/>
        </w:rPr>
        <w:t xml:space="preserve"> </w:t>
      </w:r>
      <w:r>
        <w:rPr>
          <w:lang w:val="en-US"/>
        </w:rPr>
        <w:t xml:space="preserve">which </w:t>
      </w:r>
      <w:r w:rsidRPr="008A20CD">
        <w:rPr>
          <w:lang w:val="en-US"/>
        </w:rPr>
        <w:t>have been developed according to Article 45(17) of the BRRD</w:t>
      </w:r>
      <w:r>
        <w:rPr>
          <w:lang w:val="en-US"/>
        </w:rPr>
        <w:t>, are aimed to</w:t>
      </w:r>
      <w:r w:rsidRPr="00B02CA3">
        <w:rPr>
          <w:lang w:val="en-US"/>
        </w:rPr>
        <w:t xml:space="preserve"> enable the EBA to monitor the consistency of MREL implementation across the EU.</w:t>
      </w:r>
    </w:p>
    <w:p w:rsidR="00573875" w:rsidRDefault="00573875" w:rsidP="00573875">
      <w:pPr>
        <w:rPr>
          <w:b/>
          <w:bCs/>
          <w:sz w:val="22"/>
          <w:u w:val="single"/>
          <w:lang w:val="en-US"/>
        </w:rPr>
      </w:pPr>
      <w:r>
        <w:rPr>
          <w:b/>
          <w:bCs/>
          <w:sz w:val="22"/>
          <w:u w:val="single"/>
          <w:lang w:val="en-US"/>
        </w:rPr>
        <w:t>Other</w:t>
      </w:r>
    </w:p>
    <w:p w:rsidR="00573875" w:rsidRPr="00DB3A96" w:rsidRDefault="00573875" w:rsidP="00573875">
      <w:pPr>
        <w:spacing w:after="0"/>
        <w:rPr>
          <w:lang w:val="en-US"/>
        </w:rPr>
      </w:pPr>
      <w:r>
        <w:rPr>
          <w:b/>
          <w:lang w:val="en-US"/>
        </w:rPr>
        <w:t>29</w:t>
      </w:r>
      <w:r w:rsidRPr="00856F57">
        <w:rPr>
          <w:b/>
          <w:lang w:val="en-US"/>
        </w:rPr>
        <w:t xml:space="preserve"> September 2017</w:t>
      </w:r>
      <w:r w:rsidRPr="00856F57">
        <w:rPr>
          <w:lang w:val="en-US"/>
        </w:rPr>
        <w:t xml:space="preserve"> – </w:t>
      </w:r>
      <w:hyperlink r:id="rId45" w:history="1">
        <w:r w:rsidRPr="00DB3A96">
          <w:rPr>
            <w:rStyle w:val="Hyperlink"/>
            <w:lang w:val="en-US"/>
          </w:rPr>
          <w:t>EBA issues Opinion on the design of a new prudential framework for investment firms</w:t>
        </w:r>
      </w:hyperlink>
    </w:p>
    <w:p w:rsidR="00573875" w:rsidRDefault="00573875" w:rsidP="00573875">
      <w:pPr>
        <w:spacing w:after="360"/>
        <w:rPr>
          <w:lang w:val="en-US"/>
        </w:rPr>
      </w:pPr>
      <w:r w:rsidRPr="00DB3A96">
        <w:rPr>
          <w:lang w:val="en-US"/>
        </w:rPr>
        <w:t xml:space="preserve">The </w:t>
      </w:r>
      <w:r>
        <w:rPr>
          <w:lang w:val="en-US"/>
        </w:rPr>
        <w:t xml:space="preserve">EBA has </w:t>
      </w:r>
      <w:r w:rsidRPr="00DB3A96">
        <w:rPr>
          <w:lang w:val="en-US"/>
        </w:rPr>
        <w:t xml:space="preserve">published its Opinion on the design and calibration of a new prudential framework for investment firms, which </w:t>
      </w:r>
      <w:r>
        <w:rPr>
          <w:lang w:val="en-US"/>
        </w:rPr>
        <w:t>aims to be</w:t>
      </w:r>
      <w:r w:rsidRPr="00DB3A96">
        <w:rPr>
          <w:lang w:val="en-US"/>
        </w:rPr>
        <w:t xml:space="preserve"> specifically tailored to the needs of investment firms' different business models and inherent risks</w:t>
      </w:r>
      <w:r>
        <w:rPr>
          <w:lang w:val="en-US"/>
        </w:rPr>
        <w:t>. The o</w:t>
      </w:r>
      <w:r w:rsidRPr="00DB3A96">
        <w:rPr>
          <w:lang w:val="en-US"/>
        </w:rPr>
        <w:t>pinion includes a series of recommendations aiming to develop a single and harmonised set of requirements that are reasonably simple, proportionate and relevant to the nature of investment firms authorised to provide</w:t>
      </w:r>
      <w:r>
        <w:rPr>
          <w:lang w:val="en-US"/>
        </w:rPr>
        <w:t xml:space="preserve"> MiFID services and activities.</w:t>
      </w:r>
    </w:p>
    <w:p w:rsidR="00573875" w:rsidRPr="00DB3A96" w:rsidRDefault="00573875" w:rsidP="00573875">
      <w:pPr>
        <w:spacing w:after="0"/>
        <w:rPr>
          <w:lang w:val="en-US"/>
        </w:rPr>
      </w:pPr>
      <w:r>
        <w:rPr>
          <w:b/>
          <w:lang w:val="en-US"/>
        </w:rPr>
        <w:t>29</w:t>
      </w:r>
      <w:r w:rsidRPr="00856F57">
        <w:rPr>
          <w:b/>
          <w:lang w:val="en-US"/>
        </w:rPr>
        <w:t xml:space="preserve"> September 2017</w:t>
      </w:r>
      <w:r w:rsidRPr="00856F57">
        <w:rPr>
          <w:lang w:val="en-US"/>
        </w:rPr>
        <w:t xml:space="preserve"> – </w:t>
      </w:r>
      <w:hyperlink r:id="rId46" w:history="1">
        <w:r w:rsidRPr="00DB3A96">
          <w:rPr>
            <w:rStyle w:val="Hyperlink"/>
            <w:lang w:val="en-US"/>
          </w:rPr>
          <w:t>EBA and US Agencies conclude Framework Cooperation Arrangement on Bank Resolution</w:t>
        </w:r>
      </w:hyperlink>
    </w:p>
    <w:p w:rsidR="00573875" w:rsidRPr="00DB3A96" w:rsidRDefault="00573875" w:rsidP="00573875">
      <w:pPr>
        <w:spacing w:after="360"/>
        <w:rPr>
          <w:lang w:val="en-US"/>
        </w:rPr>
      </w:pPr>
      <w:r w:rsidRPr="00DB3A96">
        <w:rPr>
          <w:lang w:val="en-US"/>
        </w:rPr>
        <w:lastRenderedPageBreak/>
        <w:t>The EBA has signed a Framework Cooperation Arrangement with several US financial regulatory Agencies</w:t>
      </w:r>
      <w:r>
        <w:rPr>
          <w:lang w:val="en-US"/>
        </w:rPr>
        <w:t xml:space="preserve"> (e.g.</w:t>
      </w:r>
      <w:r w:rsidRPr="007D401A">
        <w:rPr>
          <w:rFonts w:ascii="TimesNewRomanPSMT" w:hAnsi="TimesNewRomanPSMT" w:cs="TimesNewRomanPSMT"/>
          <w:sz w:val="24"/>
          <w:szCs w:val="24"/>
          <w:lang w:val="en-US" w:eastAsia="fr-LU"/>
        </w:rPr>
        <w:t xml:space="preserve"> </w:t>
      </w:r>
      <w:r>
        <w:rPr>
          <w:rFonts w:ascii="TimesNewRomanPSMT" w:hAnsi="TimesNewRomanPSMT" w:cs="TimesNewRomanPSMT"/>
          <w:sz w:val="24"/>
          <w:szCs w:val="24"/>
          <w:lang w:val="en-US" w:eastAsia="fr-LU"/>
        </w:rPr>
        <w:t xml:space="preserve">the </w:t>
      </w:r>
      <w:r w:rsidRPr="007D401A">
        <w:rPr>
          <w:lang w:val="en-US"/>
        </w:rPr>
        <w:t>Federal Deposit Insurance Corporation</w:t>
      </w:r>
      <w:r>
        <w:rPr>
          <w:lang w:val="en-US"/>
        </w:rPr>
        <w:t>, the Securities and</w:t>
      </w:r>
      <w:r w:rsidRPr="007D401A">
        <w:rPr>
          <w:lang w:val="en-US"/>
        </w:rPr>
        <w:t xml:space="preserve"> Exchange Commission</w:t>
      </w:r>
      <w:r>
        <w:rPr>
          <w:lang w:val="en-US"/>
        </w:rPr>
        <w:t>)</w:t>
      </w:r>
      <w:r w:rsidRPr="00DB3A96">
        <w:rPr>
          <w:lang w:val="en-US"/>
        </w:rPr>
        <w:t>. The Framework Cooperation Arrangement lays out the basis for subsequent cooperation arrangements on bank crisis management and resolution between any of the EU Supervisory or Resolution Authorities and any of the participating US Agencies. This Framework Cooperation Arrangement has the objective to promote resolution planning and cooperation for cross-border institutions.</w:t>
      </w:r>
    </w:p>
    <w:p w:rsidR="00573875" w:rsidRDefault="00573875" w:rsidP="00573875">
      <w:pPr>
        <w:pStyle w:val="Heading3"/>
        <w:rPr>
          <w:bCs/>
          <w:lang w:val="en-US"/>
        </w:rPr>
      </w:pPr>
      <w:r>
        <w:rPr>
          <w:bCs/>
          <w:lang w:val="en-US"/>
        </w:rPr>
        <w:t>Consultations</w:t>
      </w:r>
    </w:p>
    <w:p w:rsidR="00573875" w:rsidRPr="00427021" w:rsidRDefault="00573875" w:rsidP="00573875">
      <w:pPr>
        <w:rPr>
          <w:lang w:val="en-US"/>
        </w:rPr>
      </w:pPr>
      <w:r w:rsidRPr="00856F57">
        <w:rPr>
          <w:b/>
          <w:bCs/>
          <w:sz w:val="22"/>
          <w:u w:val="single"/>
          <w:lang w:val="en-US"/>
        </w:rPr>
        <w:t>Capital Requirements Directive and Regulation</w:t>
      </w:r>
    </w:p>
    <w:p w:rsidR="00573875" w:rsidRPr="00427021" w:rsidRDefault="00573875" w:rsidP="00573875">
      <w:pPr>
        <w:spacing w:after="0"/>
        <w:rPr>
          <w:u w:val="single"/>
          <w:lang w:val="en-US"/>
        </w:rPr>
      </w:pPr>
      <w:r>
        <w:rPr>
          <w:b/>
          <w:lang w:val="en-US"/>
        </w:rPr>
        <w:t>19</w:t>
      </w:r>
      <w:r w:rsidRPr="00856F57">
        <w:rPr>
          <w:b/>
          <w:lang w:val="en-US"/>
        </w:rPr>
        <w:t xml:space="preserve"> September 2017</w:t>
      </w:r>
      <w:r w:rsidRPr="00856F57">
        <w:rPr>
          <w:lang w:val="en-US"/>
        </w:rPr>
        <w:t xml:space="preserve"> – </w:t>
      </w:r>
      <w:hyperlink r:id="rId47" w:history="1">
        <w:r w:rsidRPr="00427021">
          <w:rPr>
            <w:rStyle w:val="Hyperlink"/>
            <w:lang w:val="en-US"/>
          </w:rPr>
          <w:t>EBA launches consultation on significant risk transfer in securitisation</w:t>
        </w:r>
      </w:hyperlink>
    </w:p>
    <w:p w:rsidR="00573875" w:rsidRDefault="00573875" w:rsidP="00573875">
      <w:pPr>
        <w:spacing w:after="0"/>
        <w:rPr>
          <w:lang w:val="en-US"/>
        </w:rPr>
      </w:pPr>
      <w:r w:rsidRPr="00427021">
        <w:rPr>
          <w:lang w:val="en-US"/>
        </w:rPr>
        <w:t>The EBA</w:t>
      </w:r>
      <w:r>
        <w:rPr>
          <w:lang w:val="en-US"/>
        </w:rPr>
        <w:t xml:space="preserve"> has</w:t>
      </w:r>
      <w:r w:rsidRPr="00427021">
        <w:rPr>
          <w:lang w:val="en-US"/>
        </w:rPr>
        <w:t xml:space="preserve"> launched a public consultation on its discussion paper on significant risk transfer in securitisation. This work builds on the EBA’s monitoring activity of supervisory practices in the area of significant risk transfer, which the </w:t>
      </w:r>
      <w:r>
        <w:rPr>
          <w:lang w:val="en-US"/>
        </w:rPr>
        <w:t xml:space="preserve">EBA </w:t>
      </w:r>
      <w:r w:rsidRPr="00427021">
        <w:rPr>
          <w:lang w:val="en-US"/>
        </w:rPr>
        <w:t>started in 2014 with the publication of the EBA Guidelines on this topic. The discussion paper</w:t>
      </w:r>
      <w:r>
        <w:rPr>
          <w:lang w:val="en-US"/>
        </w:rPr>
        <w:t>, which has been developed according to</w:t>
      </w:r>
      <w:r w:rsidRPr="00427021">
        <w:rPr>
          <w:lang w:val="en-US"/>
        </w:rPr>
        <w:t xml:space="preserve"> </w:t>
      </w:r>
      <w:r w:rsidRPr="00D869F3">
        <w:rPr>
          <w:lang w:val="en-US"/>
        </w:rPr>
        <w:t>Article 243(6) and 244(6) of the CRR</w:t>
      </w:r>
      <w:r>
        <w:rPr>
          <w:lang w:val="en-US"/>
        </w:rPr>
        <w:t>,</w:t>
      </w:r>
      <w:r w:rsidRPr="00D869F3">
        <w:rPr>
          <w:lang w:val="en-US"/>
        </w:rPr>
        <w:t xml:space="preserve"> </w:t>
      </w:r>
      <w:r w:rsidRPr="00427021">
        <w:rPr>
          <w:lang w:val="en-US"/>
        </w:rPr>
        <w:t xml:space="preserve">aims at seeking stakeholders’ views on how to further harmonise the regulation and supervision of the risk transfer through securitisation. The EBA’s proposals are based on the newly agreed European securitisation legislation. </w:t>
      </w:r>
    </w:p>
    <w:p w:rsidR="00573875" w:rsidRPr="00427021" w:rsidRDefault="00573875" w:rsidP="00573875">
      <w:pPr>
        <w:spacing w:after="360"/>
        <w:rPr>
          <w:lang w:val="en-US"/>
        </w:rPr>
      </w:pPr>
      <w:r w:rsidRPr="00427021">
        <w:rPr>
          <w:lang w:val="en-US"/>
        </w:rPr>
        <w:t xml:space="preserve">The consultation will </w:t>
      </w:r>
      <w:r>
        <w:rPr>
          <w:lang w:val="en-US"/>
        </w:rPr>
        <w:t xml:space="preserve">run </w:t>
      </w:r>
      <w:r w:rsidRPr="00427021">
        <w:rPr>
          <w:lang w:val="en-US"/>
        </w:rPr>
        <w:t>until 19 December 2017.</w:t>
      </w:r>
    </w:p>
    <w:p w:rsidR="00573875" w:rsidRPr="00427021" w:rsidRDefault="00573875" w:rsidP="00573875">
      <w:pPr>
        <w:spacing w:after="0"/>
        <w:rPr>
          <w:u w:val="single"/>
          <w:lang w:val="en-US"/>
        </w:rPr>
      </w:pPr>
      <w:r w:rsidRPr="00427021">
        <w:rPr>
          <w:b/>
          <w:lang w:val="en-US"/>
        </w:rPr>
        <w:t>22</w:t>
      </w:r>
      <w:r w:rsidRPr="00856F57">
        <w:rPr>
          <w:b/>
          <w:lang w:val="en-US"/>
        </w:rPr>
        <w:t xml:space="preserve"> September 2017</w:t>
      </w:r>
      <w:r w:rsidRPr="00856F57">
        <w:rPr>
          <w:lang w:val="en-US"/>
        </w:rPr>
        <w:t xml:space="preserve"> – </w:t>
      </w:r>
      <w:hyperlink r:id="rId48" w:history="1">
        <w:r w:rsidRPr="00427021">
          <w:rPr>
            <w:rStyle w:val="Hyperlink"/>
            <w:lang w:val="en-US"/>
          </w:rPr>
          <w:t>EBA consults on amendments to technical standards on supervisory disclosure</w:t>
        </w:r>
      </w:hyperlink>
    </w:p>
    <w:p w:rsidR="00573875" w:rsidRDefault="00573875" w:rsidP="00573875">
      <w:pPr>
        <w:spacing w:after="0"/>
        <w:rPr>
          <w:lang w:val="en-US"/>
        </w:rPr>
      </w:pPr>
      <w:r w:rsidRPr="00427021">
        <w:rPr>
          <w:lang w:val="en-US"/>
        </w:rPr>
        <w:t xml:space="preserve">The </w:t>
      </w:r>
      <w:r>
        <w:rPr>
          <w:lang w:val="en-US"/>
        </w:rPr>
        <w:t>EBA has</w:t>
      </w:r>
      <w:r w:rsidRPr="00427021">
        <w:rPr>
          <w:lang w:val="en-US"/>
        </w:rPr>
        <w:t xml:space="preserve"> launched a consultation to amend the ITS on supervisory disclosure, which specify the format, structure, contents list and annual publication date of the supervisory information to be disclosed by competent authorities. The revised draft ITS</w:t>
      </w:r>
      <w:r>
        <w:rPr>
          <w:lang w:val="en-US"/>
        </w:rPr>
        <w:t>,</w:t>
      </w:r>
      <w:r w:rsidRPr="00D869F3">
        <w:rPr>
          <w:lang w:val="en-US"/>
        </w:rPr>
        <w:t xml:space="preserve"> which have been developed accord</w:t>
      </w:r>
      <w:r>
        <w:rPr>
          <w:lang w:val="en-US"/>
        </w:rPr>
        <w:t>ing to</w:t>
      </w:r>
      <w:r w:rsidRPr="00D869F3">
        <w:rPr>
          <w:lang w:val="en-US"/>
        </w:rPr>
        <w:t xml:space="preserve"> Article 143 of the CRD</w:t>
      </w:r>
      <w:r>
        <w:rPr>
          <w:lang w:val="en-US"/>
        </w:rPr>
        <w:t>,</w:t>
      </w:r>
      <w:r w:rsidRPr="00427021">
        <w:rPr>
          <w:lang w:val="en-US"/>
        </w:rPr>
        <w:t xml:space="preserve"> will incorporate the changes to the EU legal framework and the establishment of the Sing</w:t>
      </w:r>
      <w:r>
        <w:rPr>
          <w:lang w:val="en-US"/>
        </w:rPr>
        <w:t xml:space="preserve">le Supervisory Mechanism (SSM). It </w:t>
      </w:r>
      <w:r w:rsidRPr="00D47FE2">
        <w:rPr>
          <w:lang w:val="en-US"/>
        </w:rPr>
        <w:t>tries to clarify the level of consolidation and the approach to be taken when aggregating the data, as well as the scope and the split of supervisory responsibilities between the ECB and the NCAs.</w:t>
      </w:r>
    </w:p>
    <w:p w:rsidR="00573875" w:rsidRDefault="00573875" w:rsidP="00573875">
      <w:pPr>
        <w:spacing w:after="360"/>
        <w:rPr>
          <w:lang w:val="en-US"/>
        </w:rPr>
      </w:pPr>
      <w:r w:rsidRPr="00427021">
        <w:rPr>
          <w:lang w:val="en-US"/>
        </w:rPr>
        <w:t>The consultation</w:t>
      </w:r>
      <w:r>
        <w:rPr>
          <w:lang w:val="en-US"/>
        </w:rPr>
        <w:t xml:space="preserve"> will run</w:t>
      </w:r>
      <w:r w:rsidRPr="00427021">
        <w:rPr>
          <w:lang w:val="en-US"/>
        </w:rPr>
        <w:t xml:space="preserve"> until 22 December 2017.</w:t>
      </w:r>
    </w:p>
    <w:p w:rsidR="00573875" w:rsidRDefault="00573875" w:rsidP="00573875">
      <w:pPr>
        <w:pStyle w:val="Heading2"/>
        <w:rPr>
          <w:lang w:val="en-US"/>
        </w:rPr>
      </w:pPr>
      <w:r w:rsidRPr="00A73985">
        <w:rPr>
          <w:lang w:val="en-US"/>
        </w:rPr>
        <w:t>European</w:t>
      </w:r>
      <w:r>
        <w:rPr>
          <w:lang w:val="en-US"/>
        </w:rPr>
        <w:t xml:space="preserve"> Supervisory Authorities (ESAs)</w:t>
      </w:r>
    </w:p>
    <w:p w:rsidR="00573875" w:rsidRDefault="00573875" w:rsidP="00573875">
      <w:pPr>
        <w:pStyle w:val="Heading3"/>
        <w:rPr>
          <w:bCs/>
          <w:lang w:val="en-US"/>
        </w:rPr>
      </w:pPr>
      <w:r>
        <w:rPr>
          <w:bCs/>
          <w:lang w:val="en-US"/>
        </w:rPr>
        <w:t>Publications</w:t>
      </w:r>
    </w:p>
    <w:p w:rsidR="00573875" w:rsidRPr="00F97F14" w:rsidRDefault="00573875" w:rsidP="00573875">
      <w:pPr>
        <w:spacing w:after="0"/>
        <w:rPr>
          <w:u w:val="single"/>
          <w:lang w:val="en-US"/>
        </w:rPr>
      </w:pPr>
      <w:r>
        <w:rPr>
          <w:b/>
          <w:lang w:val="en-US"/>
        </w:rPr>
        <w:t>22</w:t>
      </w:r>
      <w:r w:rsidRPr="00856F57">
        <w:rPr>
          <w:b/>
          <w:lang w:val="en-US"/>
        </w:rPr>
        <w:t xml:space="preserve"> September 2017</w:t>
      </w:r>
      <w:r w:rsidRPr="00856F57">
        <w:rPr>
          <w:lang w:val="en-US"/>
        </w:rPr>
        <w:t xml:space="preserve"> – </w:t>
      </w:r>
      <w:hyperlink r:id="rId49" w:history="1">
        <w:r w:rsidRPr="00F97F14">
          <w:rPr>
            <w:rStyle w:val="Hyperlink"/>
            <w:lang w:val="en-US"/>
          </w:rPr>
          <w:t>ESAs provide guidance to prevent terrorist financing and money laundering in electronic fund transfers</w:t>
        </w:r>
      </w:hyperlink>
    </w:p>
    <w:p w:rsidR="00573875" w:rsidRDefault="00573875" w:rsidP="00573875">
      <w:pPr>
        <w:spacing w:after="360"/>
        <w:rPr>
          <w:lang w:val="en-US"/>
        </w:rPr>
      </w:pPr>
      <w:r w:rsidRPr="00F97F14">
        <w:rPr>
          <w:lang w:val="en-US"/>
        </w:rPr>
        <w:t xml:space="preserve">The Joint Committee of the three European Supervisory Authorities (EBA, EIOPA and ESMA - ESAs) </w:t>
      </w:r>
      <w:r>
        <w:rPr>
          <w:lang w:val="en-US"/>
        </w:rPr>
        <w:t xml:space="preserve">has </w:t>
      </w:r>
      <w:r w:rsidRPr="00F97F14">
        <w:rPr>
          <w:lang w:val="en-US"/>
        </w:rPr>
        <w:t>published guidelines to prevent the abuse of funds transfers for terrorist financing and money laundering purposes. These guidelines</w:t>
      </w:r>
      <w:r>
        <w:rPr>
          <w:lang w:val="en-US"/>
        </w:rPr>
        <w:t>, which have been developed according to</w:t>
      </w:r>
      <w:r w:rsidRPr="001F3CDD">
        <w:rPr>
          <w:lang w:val="en-US"/>
        </w:rPr>
        <w:t xml:space="preserve"> Article 25 of Regulation (EU) 2015/847</w:t>
      </w:r>
      <w:r w:rsidRPr="00F97F14">
        <w:rPr>
          <w:lang w:val="en-US"/>
        </w:rPr>
        <w:t xml:space="preserve"> </w:t>
      </w:r>
      <w:r>
        <w:rPr>
          <w:lang w:val="en-US"/>
        </w:rPr>
        <w:t>aim to set</w:t>
      </w:r>
      <w:r w:rsidRPr="00855876">
        <w:rPr>
          <w:lang w:val="en-US"/>
        </w:rPr>
        <w:t xml:space="preserve"> clear, common regulatory expectations for payment service providers' policies and procedures and </w:t>
      </w:r>
      <w:r>
        <w:rPr>
          <w:lang w:val="en-US"/>
        </w:rPr>
        <w:t xml:space="preserve">aim to </w:t>
      </w:r>
      <w:r w:rsidRPr="00855876">
        <w:rPr>
          <w:lang w:val="en-US"/>
        </w:rPr>
        <w:t>pave the way for a more effective pan-European approach to anti-money laundering and countering the financing of terrorism (AML/CFT).</w:t>
      </w:r>
    </w:p>
    <w:p w:rsidR="00573875" w:rsidRPr="00F97F14" w:rsidRDefault="00573875" w:rsidP="00573875">
      <w:pPr>
        <w:spacing w:after="0"/>
        <w:rPr>
          <w:u w:val="single"/>
          <w:lang w:val="en-US"/>
        </w:rPr>
      </w:pPr>
      <w:r>
        <w:rPr>
          <w:b/>
          <w:lang w:val="en-US"/>
        </w:rPr>
        <w:t>26</w:t>
      </w:r>
      <w:r w:rsidRPr="00856F57">
        <w:rPr>
          <w:b/>
          <w:lang w:val="en-US"/>
        </w:rPr>
        <w:t xml:space="preserve"> September 2017</w:t>
      </w:r>
      <w:r w:rsidRPr="00856F57">
        <w:rPr>
          <w:lang w:val="en-US"/>
        </w:rPr>
        <w:t xml:space="preserve"> – </w:t>
      </w:r>
      <w:hyperlink r:id="rId50" w:history="1">
        <w:r w:rsidRPr="00F97F14">
          <w:rPr>
            <w:rStyle w:val="Hyperlink"/>
            <w:lang w:val="en-US"/>
          </w:rPr>
          <w:t>EBA and ESMA provide guidance to assess the suitability of management body members and key function holders</w:t>
        </w:r>
      </w:hyperlink>
    </w:p>
    <w:p w:rsidR="00573875" w:rsidRDefault="00573875" w:rsidP="00573875">
      <w:pPr>
        <w:spacing w:after="360"/>
        <w:rPr>
          <w:lang w:val="en-US"/>
        </w:rPr>
      </w:pPr>
      <w:r w:rsidRPr="00F97F14">
        <w:rPr>
          <w:lang w:val="en-US"/>
        </w:rPr>
        <w:t xml:space="preserve">The </w:t>
      </w:r>
      <w:r>
        <w:rPr>
          <w:lang w:val="en-US"/>
        </w:rPr>
        <w:t>EBA</w:t>
      </w:r>
      <w:r w:rsidRPr="00F97F14">
        <w:rPr>
          <w:lang w:val="en-US"/>
        </w:rPr>
        <w:t xml:space="preserve"> and the European Securities and Markets Authority (ES</w:t>
      </w:r>
      <w:r>
        <w:rPr>
          <w:lang w:val="en-US"/>
        </w:rPr>
        <w:t>MA) have published their joint g</w:t>
      </w:r>
      <w:r w:rsidRPr="00F97F14">
        <w:rPr>
          <w:lang w:val="en-US"/>
        </w:rPr>
        <w:t>uidelines to assess the suitability of members of management bodies a</w:t>
      </w:r>
      <w:r>
        <w:rPr>
          <w:lang w:val="en-US"/>
        </w:rPr>
        <w:t>nd key function holders. These g</w:t>
      </w:r>
      <w:r w:rsidRPr="00F97F14">
        <w:rPr>
          <w:lang w:val="en-US"/>
        </w:rPr>
        <w:t>uidelines</w:t>
      </w:r>
      <w:r>
        <w:rPr>
          <w:lang w:val="en-US"/>
        </w:rPr>
        <w:t>, which</w:t>
      </w:r>
      <w:r w:rsidRPr="00D869F3">
        <w:rPr>
          <w:rFonts w:cs="Arial"/>
          <w:color w:val="303A40"/>
          <w:sz w:val="18"/>
          <w:szCs w:val="18"/>
          <w:lang w:val="en-US"/>
        </w:rPr>
        <w:t xml:space="preserve"> </w:t>
      </w:r>
      <w:r w:rsidRPr="00D869F3">
        <w:rPr>
          <w:lang w:val="en-US"/>
        </w:rPr>
        <w:t>have been de</w:t>
      </w:r>
      <w:r w:rsidR="00164C73">
        <w:rPr>
          <w:lang w:val="en-US"/>
        </w:rPr>
        <w:t>veloped according to Article 91</w:t>
      </w:r>
      <w:r w:rsidRPr="00D869F3">
        <w:rPr>
          <w:lang w:val="en-US"/>
        </w:rPr>
        <w:t xml:space="preserve">(12) of </w:t>
      </w:r>
      <w:r>
        <w:rPr>
          <w:lang w:val="en-US"/>
        </w:rPr>
        <w:t>the CRD IV</w:t>
      </w:r>
      <w:r w:rsidRPr="00D869F3">
        <w:rPr>
          <w:lang w:val="en-US"/>
        </w:rPr>
        <w:t xml:space="preserve"> and Article 9 of Directive 2014/65/EU</w:t>
      </w:r>
      <w:r w:rsidR="00164C73">
        <w:rPr>
          <w:lang w:val="en-US"/>
        </w:rPr>
        <w:t xml:space="preserve"> (MiFI</w:t>
      </w:r>
      <w:r>
        <w:rPr>
          <w:lang w:val="en-US"/>
        </w:rPr>
        <w:t>D II),</w:t>
      </w:r>
      <w:r w:rsidRPr="00F97F14">
        <w:rPr>
          <w:lang w:val="en-US"/>
        </w:rPr>
        <w:t xml:space="preserve"> aim to harmonise and improve suitability assessments within EU financial sectors, and to ensure sound governance arrangements in financial institutions in line with the </w:t>
      </w:r>
      <w:r>
        <w:rPr>
          <w:lang w:val="en-US"/>
        </w:rPr>
        <w:t>CRD IV</w:t>
      </w:r>
      <w:r w:rsidRPr="00F97F14">
        <w:rPr>
          <w:lang w:val="en-US"/>
        </w:rPr>
        <w:t xml:space="preserve"> and the MiFID I</w:t>
      </w:r>
      <w:r>
        <w:rPr>
          <w:lang w:val="en-US"/>
        </w:rPr>
        <w:t>I. The g</w:t>
      </w:r>
      <w:r w:rsidRPr="00F97F14">
        <w:rPr>
          <w:lang w:val="en-US"/>
        </w:rPr>
        <w:t xml:space="preserve">uidelines highlight the importance for institutions to consider whether candidates have the knowledge, qualification and skills necessary to safeguard proper and prudent </w:t>
      </w:r>
      <w:r w:rsidRPr="00F97F14">
        <w:rPr>
          <w:lang w:val="en-US"/>
        </w:rPr>
        <w:lastRenderedPageBreak/>
        <w:t xml:space="preserve">management of the institution. The </w:t>
      </w:r>
      <w:r>
        <w:rPr>
          <w:lang w:val="en-US"/>
        </w:rPr>
        <w:t>g</w:t>
      </w:r>
      <w:r w:rsidRPr="00F97F14">
        <w:rPr>
          <w:lang w:val="en-US"/>
        </w:rPr>
        <w:t xml:space="preserve">uidelines also </w:t>
      </w:r>
      <w:r>
        <w:rPr>
          <w:lang w:val="en-US"/>
        </w:rPr>
        <w:t>aim to foster more diversity in</w:t>
      </w:r>
      <w:r w:rsidRPr="00F97F14">
        <w:rPr>
          <w:lang w:val="en-US"/>
        </w:rPr>
        <w:t xml:space="preserve"> management bodies </w:t>
      </w:r>
      <w:r>
        <w:rPr>
          <w:lang w:val="en-US"/>
        </w:rPr>
        <w:t>intended to</w:t>
      </w:r>
      <w:r w:rsidRPr="00F97F14">
        <w:rPr>
          <w:lang w:val="en-US"/>
        </w:rPr>
        <w:t xml:space="preserve"> contribute to improved risk oversight and resilience of institutions.</w:t>
      </w:r>
    </w:p>
    <w:p w:rsidR="00573875" w:rsidRPr="00E4772E" w:rsidRDefault="00573875" w:rsidP="00573875">
      <w:pPr>
        <w:pStyle w:val="Heading2"/>
        <w:rPr>
          <w:lang w:val="en-US"/>
        </w:rPr>
      </w:pPr>
      <w:r w:rsidRPr="00E4772E">
        <w:rPr>
          <w:lang w:val="en-US"/>
        </w:rPr>
        <w:t>European Systemic Risk Board (ESRB)</w:t>
      </w:r>
    </w:p>
    <w:p w:rsidR="00573875" w:rsidRDefault="00573875" w:rsidP="00573875">
      <w:pPr>
        <w:pStyle w:val="Heading3"/>
        <w:rPr>
          <w:bCs/>
          <w:lang w:val="en-US"/>
        </w:rPr>
      </w:pPr>
      <w:r>
        <w:rPr>
          <w:bCs/>
          <w:lang w:val="en-US"/>
        </w:rPr>
        <w:t>Publications</w:t>
      </w:r>
    </w:p>
    <w:p w:rsidR="00573875" w:rsidRPr="00F97F14" w:rsidRDefault="00573875" w:rsidP="00573875">
      <w:pPr>
        <w:spacing w:after="0"/>
        <w:rPr>
          <w:u w:val="single"/>
          <w:lang w:val="en-US"/>
        </w:rPr>
      </w:pPr>
      <w:r>
        <w:rPr>
          <w:b/>
          <w:lang w:val="en-US"/>
        </w:rPr>
        <w:t>28</w:t>
      </w:r>
      <w:r w:rsidRPr="00856F57">
        <w:rPr>
          <w:b/>
          <w:lang w:val="en-US"/>
        </w:rPr>
        <w:t xml:space="preserve"> September 2017</w:t>
      </w:r>
      <w:r w:rsidRPr="00856F57">
        <w:rPr>
          <w:lang w:val="en-US"/>
        </w:rPr>
        <w:t xml:space="preserve"> – </w:t>
      </w:r>
      <w:hyperlink r:id="rId51" w:history="1">
        <w:r w:rsidRPr="00E129AE">
          <w:rPr>
            <w:rStyle w:val="Hyperlink"/>
            <w:lang w:val="en-US"/>
          </w:rPr>
          <w:t>ESRB risk dashboard, September 2017 (Issue 21)</w:t>
        </w:r>
      </w:hyperlink>
    </w:p>
    <w:p w:rsidR="00573875" w:rsidRDefault="00573875" w:rsidP="00573875">
      <w:pPr>
        <w:spacing w:after="0" w:line="240" w:lineRule="auto"/>
        <w:rPr>
          <w:lang w:val="en-US"/>
        </w:rPr>
      </w:pPr>
      <w:r w:rsidRPr="00E129AE">
        <w:rPr>
          <w:lang w:val="en-US"/>
        </w:rPr>
        <w:t>The ESRB has issued its 20</w:t>
      </w:r>
      <w:r w:rsidRPr="00164C73">
        <w:rPr>
          <w:vertAlign w:val="superscript"/>
          <w:lang w:val="en-US"/>
        </w:rPr>
        <w:t>th</w:t>
      </w:r>
      <w:r w:rsidRPr="00E129AE">
        <w:rPr>
          <w:lang w:val="en-US"/>
        </w:rPr>
        <w:t xml:space="preserve"> risk dashboard which provides an overview of potential sources of systemic risk in the EU financial system. This risk dashboard is a compilation of a series of qualitative and quantitative indicators of systemic risk within specific risk categories comprising measures of risk in the non-banking sector, market risk, macroeconomic risk, credit risk, and solvency and profitability risk in the banking sector. The ESRB risk dashboard is published on a quarterly basis.</w:t>
      </w:r>
    </w:p>
    <w:p w:rsidR="00573875" w:rsidRPr="00E129AE" w:rsidRDefault="00573875" w:rsidP="00573875">
      <w:pPr>
        <w:spacing w:after="360"/>
        <w:rPr>
          <w:lang w:val="en-US"/>
        </w:rPr>
      </w:pPr>
      <w:r>
        <w:rPr>
          <w:lang w:val="en-US"/>
        </w:rPr>
        <w:t>See also the</w:t>
      </w:r>
      <w:r w:rsidRPr="00E129AE">
        <w:rPr>
          <w:lang w:val="en-US"/>
        </w:rPr>
        <w:t xml:space="preserve"> following documents attached to the risk dashboard: 1) </w:t>
      </w:r>
      <w:hyperlink r:id="rId52" w:history="1">
        <w:r w:rsidRPr="002E538E">
          <w:rPr>
            <w:rStyle w:val="Hyperlink"/>
            <w:lang w:val="en-US"/>
          </w:rPr>
          <w:t>Overview note</w:t>
        </w:r>
      </w:hyperlink>
      <w:r w:rsidRPr="002E538E">
        <w:rPr>
          <w:rStyle w:val="Hyperlink"/>
          <w:lang w:val="en-US"/>
        </w:rPr>
        <w:t>;</w:t>
      </w:r>
      <w:r w:rsidRPr="00E129AE">
        <w:rPr>
          <w:lang w:val="en-US"/>
        </w:rPr>
        <w:t xml:space="preserve"> 2) </w:t>
      </w:r>
      <w:hyperlink r:id="rId53" w:history="1">
        <w:r w:rsidRPr="002E538E">
          <w:rPr>
            <w:rStyle w:val="Hyperlink"/>
            <w:lang w:val="en-US"/>
          </w:rPr>
          <w:t>Annex I</w:t>
        </w:r>
      </w:hyperlink>
      <w:r w:rsidRPr="00E129AE">
        <w:rPr>
          <w:lang w:val="en-US"/>
        </w:rPr>
        <w:t xml:space="preserve">; 3) </w:t>
      </w:r>
      <w:hyperlink r:id="rId54" w:history="1">
        <w:r w:rsidRPr="002E538E">
          <w:rPr>
            <w:rStyle w:val="Hyperlink"/>
            <w:lang w:val="en-US"/>
          </w:rPr>
          <w:t>Annex II</w:t>
        </w:r>
      </w:hyperlink>
      <w:r w:rsidRPr="00E129AE">
        <w:rPr>
          <w:lang w:val="en-US"/>
        </w:rPr>
        <w:t>.</w:t>
      </w:r>
    </w:p>
    <w:p w:rsidR="00573875" w:rsidRPr="00573875" w:rsidRDefault="00573875" w:rsidP="00573875">
      <w:pPr>
        <w:pStyle w:val="Heading2"/>
      </w:pPr>
      <w:r w:rsidRPr="00573875">
        <w:t>Countercyclical Capital buffer (CCyB)</w:t>
      </w:r>
    </w:p>
    <w:p w:rsidR="00573875" w:rsidRPr="000D6B47" w:rsidRDefault="00573875" w:rsidP="00AA0B2B">
      <w:pPr>
        <w:numPr>
          <w:ilvl w:val="0"/>
          <w:numId w:val="1"/>
        </w:numPr>
        <w:spacing w:before="0" w:line="259" w:lineRule="auto"/>
        <w:rPr>
          <w:rFonts w:cs="Arial"/>
          <w:b/>
          <w:color w:val="000000"/>
          <w:szCs w:val="20"/>
          <w:lang w:val="en-US"/>
        </w:rPr>
      </w:pPr>
      <w:r w:rsidRPr="000D6B47">
        <w:rPr>
          <w:rFonts w:cs="Arial"/>
          <w:color w:val="000000"/>
          <w:szCs w:val="20"/>
          <w:lang w:val="en-US"/>
        </w:rPr>
        <w:t xml:space="preserve">The CCyB rate for the fourth quarter of 2017 </w:t>
      </w:r>
      <w:r w:rsidR="008E4D30">
        <w:rPr>
          <w:rFonts w:cs="Arial"/>
          <w:color w:val="000000"/>
          <w:szCs w:val="20"/>
          <w:lang w:val="en-US"/>
        </w:rPr>
        <w:t>was</w:t>
      </w:r>
      <w:r w:rsidRPr="000D6B47">
        <w:rPr>
          <w:rFonts w:cs="Arial"/>
          <w:color w:val="000000"/>
          <w:szCs w:val="20"/>
          <w:lang w:val="en-US"/>
        </w:rPr>
        <w:t xml:space="preserve"> published on September, 27</w:t>
      </w:r>
      <w:r w:rsidRPr="000D6B47">
        <w:rPr>
          <w:rFonts w:cs="Arial"/>
          <w:color w:val="000000"/>
          <w:szCs w:val="20"/>
          <w:vertAlign w:val="superscript"/>
          <w:lang w:val="en-US"/>
        </w:rPr>
        <w:t>st</w:t>
      </w:r>
      <w:r w:rsidRPr="000D6B47">
        <w:rPr>
          <w:rFonts w:cs="Arial"/>
          <w:color w:val="000000"/>
          <w:szCs w:val="20"/>
          <w:lang w:val="en-US"/>
        </w:rPr>
        <w:t xml:space="preserve"> 2017 and is set at 0% (</w:t>
      </w:r>
      <w:hyperlink r:id="rId55" w:history="1">
        <w:r w:rsidRPr="000D6B47">
          <w:rPr>
            <w:rStyle w:val="Hyperlink"/>
            <w:rFonts w:cs="Arial"/>
            <w:szCs w:val="20"/>
            <w:lang w:val="en-US"/>
          </w:rPr>
          <w:t>CSSF Regulation N° 17-03</w:t>
        </w:r>
      </w:hyperlink>
      <w:r w:rsidRPr="000D6B47">
        <w:rPr>
          <w:rFonts w:cs="Arial"/>
          <w:color w:val="000000"/>
          <w:szCs w:val="20"/>
          <w:lang w:val="en-US"/>
        </w:rPr>
        <w:t>)</w:t>
      </w:r>
      <w:r w:rsidR="00164C73">
        <w:rPr>
          <w:rFonts w:cs="Arial"/>
          <w:color w:val="000000"/>
          <w:szCs w:val="20"/>
          <w:lang w:val="en-US"/>
        </w:rPr>
        <w:t>.</w:t>
      </w:r>
    </w:p>
    <w:p w:rsidR="00573875" w:rsidRPr="000D6B47" w:rsidRDefault="00573875" w:rsidP="00AA0B2B">
      <w:pPr>
        <w:numPr>
          <w:ilvl w:val="0"/>
          <w:numId w:val="1"/>
        </w:numPr>
        <w:spacing w:before="0" w:line="259" w:lineRule="auto"/>
        <w:rPr>
          <w:rFonts w:cs="Arial"/>
          <w:b/>
          <w:color w:val="000000"/>
          <w:szCs w:val="20"/>
          <w:lang w:val="en-US"/>
        </w:rPr>
      </w:pPr>
      <w:r w:rsidRPr="000D6B47">
        <w:rPr>
          <w:rFonts w:cs="Arial"/>
          <w:color w:val="000000"/>
          <w:szCs w:val="20"/>
          <w:lang w:val="en-US"/>
        </w:rPr>
        <w:t xml:space="preserve">The list of applicable CCyB rates in EU/EEA countries is available on the </w:t>
      </w:r>
      <w:hyperlink r:id="rId56" w:history="1">
        <w:r w:rsidRPr="000D6B47">
          <w:rPr>
            <w:rStyle w:val="Hyperlink"/>
            <w:rFonts w:cs="Arial"/>
            <w:szCs w:val="20"/>
            <w:lang w:val="en-US"/>
          </w:rPr>
          <w:t>website of the ESRB</w:t>
        </w:r>
      </w:hyperlink>
      <w:r w:rsidRPr="000D6B47">
        <w:rPr>
          <w:rFonts w:cs="Arial"/>
          <w:color w:val="000000"/>
          <w:szCs w:val="20"/>
          <w:lang w:val="en-US"/>
        </w:rPr>
        <w:t>. The following countries have announced a CCyB rate different from 0%:</w:t>
      </w:r>
    </w:p>
    <w:p w:rsidR="00573875" w:rsidRPr="00CA3DCC" w:rsidRDefault="00573875" w:rsidP="00573875">
      <w:pPr>
        <w:spacing w:after="0" w:line="240" w:lineRule="auto"/>
        <w:ind w:left="720"/>
        <w:rPr>
          <w:rFonts w:ascii="Times New Roman" w:hAnsi="Times New Roman"/>
          <w:b/>
          <w:color w:val="000000"/>
          <w:sz w:val="10"/>
          <w:szCs w:val="10"/>
          <w:lang w:val="en-US"/>
        </w:rPr>
      </w:pPr>
    </w:p>
    <w:tbl>
      <w:tblPr>
        <w:tblW w:w="0" w:type="auto"/>
        <w:tblInd w:w="2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630"/>
        <w:gridCol w:w="2230"/>
        <w:gridCol w:w="2906"/>
      </w:tblGrid>
      <w:tr w:rsidR="00573875" w:rsidRPr="00573875" w:rsidTr="00E4772E">
        <w:trPr>
          <w:trHeight w:val="404"/>
        </w:trPr>
        <w:tc>
          <w:tcPr>
            <w:tcW w:w="3736" w:type="dxa"/>
            <w:tcBorders>
              <w:bottom w:val="single" w:sz="12" w:space="0" w:color="8EAADB"/>
            </w:tcBorders>
            <w:shd w:val="clear" w:color="auto" w:fill="auto"/>
          </w:tcPr>
          <w:p w:rsidR="00573875" w:rsidRPr="00573875" w:rsidRDefault="00573875" w:rsidP="00E4772E">
            <w:pPr>
              <w:spacing w:after="0" w:line="240" w:lineRule="auto"/>
              <w:rPr>
                <w:rFonts w:cs="Arial"/>
                <w:b/>
                <w:bCs/>
                <w:i/>
                <w:iCs/>
                <w:color w:val="000000"/>
                <w:szCs w:val="20"/>
              </w:rPr>
            </w:pPr>
            <w:r w:rsidRPr="00573875">
              <w:rPr>
                <w:rFonts w:cs="Arial"/>
                <w:b/>
                <w:bCs/>
                <w:i/>
                <w:iCs/>
                <w:color w:val="000000"/>
                <w:szCs w:val="20"/>
              </w:rPr>
              <w:t>Country</w:t>
            </w:r>
          </w:p>
        </w:tc>
        <w:tc>
          <w:tcPr>
            <w:tcW w:w="2291" w:type="dxa"/>
            <w:tcBorders>
              <w:bottom w:val="single" w:sz="12" w:space="0" w:color="8EAADB"/>
            </w:tcBorders>
            <w:shd w:val="clear" w:color="auto" w:fill="auto"/>
          </w:tcPr>
          <w:p w:rsidR="00573875" w:rsidRPr="00573875" w:rsidRDefault="00573875" w:rsidP="00E4772E">
            <w:pPr>
              <w:spacing w:after="0" w:line="240" w:lineRule="auto"/>
              <w:rPr>
                <w:rFonts w:cs="Arial"/>
                <w:b/>
                <w:bCs/>
                <w:color w:val="000000"/>
                <w:szCs w:val="20"/>
              </w:rPr>
            </w:pPr>
            <w:r w:rsidRPr="00573875">
              <w:rPr>
                <w:rFonts w:cs="Arial"/>
                <w:b/>
                <w:bCs/>
                <w:color w:val="000000"/>
                <w:szCs w:val="20"/>
              </w:rPr>
              <w:t>CCyB rate</w:t>
            </w:r>
          </w:p>
        </w:tc>
        <w:tc>
          <w:tcPr>
            <w:tcW w:w="2973" w:type="dxa"/>
            <w:tcBorders>
              <w:bottom w:val="single" w:sz="12" w:space="0" w:color="8EAADB"/>
            </w:tcBorders>
            <w:shd w:val="clear" w:color="auto" w:fill="auto"/>
          </w:tcPr>
          <w:p w:rsidR="00573875" w:rsidRPr="00573875" w:rsidRDefault="00573875" w:rsidP="00E4772E">
            <w:pPr>
              <w:spacing w:after="0" w:line="240" w:lineRule="auto"/>
              <w:rPr>
                <w:rFonts w:cs="Arial"/>
                <w:b/>
                <w:bCs/>
                <w:color w:val="000000"/>
                <w:szCs w:val="20"/>
              </w:rPr>
            </w:pPr>
            <w:r w:rsidRPr="00573875">
              <w:rPr>
                <w:rFonts w:cs="Arial"/>
                <w:b/>
                <w:bCs/>
                <w:color w:val="000000"/>
                <w:szCs w:val="20"/>
              </w:rPr>
              <w:t>Application date</w:t>
            </w:r>
          </w:p>
        </w:tc>
      </w:tr>
      <w:tr w:rsidR="00573875" w:rsidRPr="00573875" w:rsidTr="00E4772E">
        <w:trPr>
          <w:trHeight w:val="287"/>
        </w:trPr>
        <w:tc>
          <w:tcPr>
            <w:tcW w:w="3736" w:type="dxa"/>
            <w:vMerge w:val="restart"/>
            <w:shd w:val="clear" w:color="auto" w:fill="auto"/>
          </w:tcPr>
          <w:p w:rsidR="00573875" w:rsidRPr="00573875" w:rsidRDefault="00573875" w:rsidP="00E4772E">
            <w:pPr>
              <w:spacing w:after="0" w:line="240" w:lineRule="auto"/>
              <w:rPr>
                <w:rFonts w:cs="Arial"/>
                <w:b/>
                <w:bCs/>
                <w:i/>
                <w:iCs/>
                <w:color w:val="000000"/>
                <w:szCs w:val="20"/>
              </w:rPr>
            </w:pPr>
            <w:r w:rsidRPr="00573875">
              <w:rPr>
                <w:rFonts w:cs="Arial"/>
                <w:b/>
                <w:bCs/>
                <w:i/>
                <w:iCs/>
                <w:color w:val="000000"/>
                <w:szCs w:val="20"/>
              </w:rPr>
              <w:t>Czech Republic</w:t>
            </w:r>
          </w:p>
        </w:tc>
        <w:tc>
          <w:tcPr>
            <w:tcW w:w="2291" w:type="dxa"/>
            <w:vMerge w:val="restart"/>
            <w:shd w:val="clear" w:color="auto" w:fill="auto"/>
          </w:tcPr>
          <w:p w:rsidR="00573875" w:rsidRPr="00573875" w:rsidRDefault="00573875" w:rsidP="00E4772E">
            <w:pPr>
              <w:spacing w:after="0" w:line="240" w:lineRule="auto"/>
              <w:rPr>
                <w:rFonts w:cs="Arial"/>
                <w:color w:val="000000"/>
                <w:szCs w:val="20"/>
              </w:rPr>
            </w:pPr>
            <w:r w:rsidRPr="00573875">
              <w:rPr>
                <w:rFonts w:cs="Arial"/>
                <w:color w:val="000000"/>
                <w:szCs w:val="20"/>
              </w:rPr>
              <w:t>0.5%</w:t>
            </w: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01/07/2017</w:t>
            </w:r>
          </w:p>
        </w:tc>
      </w:tr>
      <w:tr w:rsidR="00573875" w:rsidRPr="00573875" w:rsidTr="00E4772E">
        <w:trPr>
          <w:trHeight w:val="287"/>
        </w:trPr>
        <w:tc>
          <w:tcPr>
            <w:tcW w:w="3736" w:type="dxa"/>
            <w:vMerge/>
            <w:shd w:val="clear" w:color="auto" w:fill="auto"/>
          </w:tcPr>
          <w:p w:rsidR="00573875" w:rsidRPr="00573875" w:rsidRDefault="00573875" w:rsidP="00E4772E">
            <w:pPr>
              <w:spacing w:after="0" w:line="240" w:lineRule="auto"/>
              <w:rPr>
                <w:rFonts w:cs="Arial"/>
                <w:b/>
                <w:bCs/>
                <w:i/>
                <w:iCs/>
                <w:color w:val="000000"/>
                <w:szCs w:val="20"/>
              </w:rPr>
            </w:pPr>
          </w:p>
        </w:tc>
        <w:tc>
          <w:tcPr>
            <w:tcW w:w="2291" w:type="dxa"/>
            <w:vMerge/>
            <w:shd w:val="clear" w:color="auto" w:fill="auto"/>
          </w:tcPr>
          <w:p w:rsidR="00573875" w:rsidRPr="00573875" w:rsidRDefault="00573875" w:rsidP="00E4772E">
            <w:pPr>
              <w:spacing w:after="0" w:line="240" w:lineRule="auto"/>
              <w:rPr>
                <w:rFonts w:cs="Arial"/>
                <w:color w:val="000000"/>
                <w:szCs w:val="20"/>
              </w:rPr>
            </w:pP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01/01/2018</w:t>
            </w:r>
          </w:p>
        </w:tc>
      </w:tr>
      <w:tr w:rsidR="00573875" w:rsidRPr="00573875" w:rsidTr="00E4772E">
        <w:trPr>
          <w:trHeight w:val="287"/>
        </w:trPr>
        <w:tc>
          <w:tcPr>
            <w:tcW w:w="3736" w:type="dxa"/>
            <w:vMerge/>
            <w:shd w:val="clear" w:color="auto" w:fill="auto"/>
          </w:tcPr>
          <w:p w:rsidR="00573875" w:rsidRPr="00573875" w:rsidRDefault="00573875" w:rsidP="00E4772E">
            <w:pPr>
              <w:spacing w:after="0" w:line="240" w:lineRule="auto"/>
              <w:rPr>
                <w:rFonts w:cs="Arial"/>
                <w:b/>
                <w:bCs/>
                <w:i/>
                <w:iCs/>
                <w:color w:val="000000"/>
                <w:szCs w:val="20"/>
              </w:rPr>
            </w:pPr>
          </w:p>
        </w:tc>
        <w:tc>
          <w:tcPr>
            <w:tcW w:w="2291" w:type="dxa"/>
            <w:vMerge/>
            <w:tcBorders>
              <w:bottom w:val="nil"/>
            </w:tcBorders>
            <w:shd w:val="clear" w:color="auto" w:fill="auto"/>
          </w:tcPr>
          <w:p w:rsidR="00573875" w:rsidRPr="00573875" w:rsidRDefault="00573875" w:rsidP="00E4772E">
            <w:pPr>
              <w:spacing w:after="0" w:line="240" w:lineRule="auto"/>
              <w:rPr>
                <w:rFonts w:cs="Arial"/>
                <w:color w:val="000000"/>
                <w:szCs w:val="20"/>
              </w:rPr>
            </w:pP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01/04/2018</w:t>
            </w:r>
          </w:p>
        </w:tc>
      </w:tr>
      <w:tr w:rsidR="00573875" w:rsidRPr="00573875" w:rsidTr="00E4772E">
        <w:trPr>
          <w:trHeight w:val="287"/>
        </w:trPr>
        <w:tc>
          <w:tcPr>
            <w:tcW w:w="3736" w:type="dxa"/>
            <w:vMerge/>
            <w:tcBorders>
              <w:bottom w:val="single" w:sz="4" w:space="0" w:color="8EAADB"/>
            </w:tcBorders>
            <w:shd w:val="clear" w:color="auto" w:fill="auto"/>
          </w:tcPr>
          <w:p w:rsidR="00573875" w:rsidRPr="00573875" w:rsidRDefault="00573875" w:rsidP="00E4772E">
            <w:pPr>
              <w:spacing w:after="0" w:line="240" w:lineRule="auto"/>
              <w:rPr>
                <w:rFonts w:cs="Arial"/>
                <w:b/>
                <w:bCs/>
                <w:i/>
                <w:iCs/>
                <w:color w:val="000000"/>
                <w:szCs w:val="20"/>
              </w:rPr>
            </w:pPr>
          </w:p>
        </w:tc>
        <w:tc>
          <w:tcPr>
            <w:tcW w:w="2291" w:type="dxa"/>
            <w:tcBorders>
              <w:top w:val="nil"/>
              <w:bottom w:val="single" w:sz="4" w:space="0" w:color="8EAADB"/>
            </w:tcBorders>
            <w:shd w:val="clear" w:color="auto" w:fill="auto"/>
          </w:tcPr>
          <w:p w:rsidR="00573875" w:rsidRPr="00573875" w:rsidRDefault="00573875" w:rsidP="00E4772E">
            <w:pPr>
              <w:spacing w:after="0" w:line="240" w:lineRule="auto"/>
              <w:rPr>
                <w:rFonts w:cs="Arial"/>
                <w:color w:val="000000"/>
                <w:szCs w:val="20"/>
              </w:rPr>
            </w:pPr>
            <w:r w:rsidRPr="00573875">
              <w:rPr>
                <w:rFonts w:cs="Arial"/>
                <w:color w:val="000000"/>
                <w:szCs w:val="20"/>
              </w:rPr>
              <w:t>1.0%</w:t>
            </w: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01/07/2018</w:t>
            </w:r>
          </w:p>
        </w:tc>
      </w:tr>
      <w:tr w:rsidR="00573875" w:rsidRPr="00573875" w:rsidTr="00E4772E">
        <w:trPr>
          <w:trHeight w:val="287"/>
        </w:trPr>
        <w:tc>
          <w:tcPr>
            <w:tcW w:w="3736" w:type="dxa"/>
            <w:tcBorders>
              <w:bottom w:val="nil"/>
            </w:tcBorders>
            <w:shd w:val="clear" w:color="auto" w:fill="auto"/>
          </w:tcPr>
          <w:p w:rsidR="00573875" w:rsidRPr="00573875" w:rsidRDefault="00573875" w:rsidP="00E4772E">
            <w:pPr>
              <w:spacing w:after="0" w:line="240" w:lineRule="auto"/>
              <w:rPr>
                <w:rFonts w:cs="Arial"/>
                <w:b/>
                <w:bCs/>
                <w:i/>
                <w:iCs/>
                <w:color w:val="000000"/>
                <w:szCs w:val="20"/>
              </w:rPr>
            </w:pPr>
            <w:r w:rsidRPr="00573875">
              <w:rPr>
                <w:rFonts w:cs="Arial"/>
                <w:b/>
                <w:bCs/>
                <w:i/>
                <w:iCs/>
                <w:color w:val="000000"/>
                <w:szCs w:val="20"/>
              </w:rPr>
              <w:t>Iceland</w:t>
            </w:r>
          </w:p>
        </w:tc>
        <w:tc>
          <w:tcPr>
            <w:tcW w:w="2291" w:type="dxa"/>
            <w:tcBorders>
              <w:top w:val="nil"/>
              <w:bottom w:val="nil"/>
            </w:tcBorders>
            <w:shd w:val="clear" w:color="auto" w:fill="auto"/>
          </w:tcPr>
          <w:p w:rsidR="00573875" w:rsidRPr="00573875" w:rsidRDefault="00573875" w:rsidP="00E4772E">
            <w:pPr>
              <w:spacing w:after="0" w:line="240" w:lineRule="auto"/>
              <w:rPr>
                <w:rFonts w:cs="Arial"/>
                <w:color w:val="000000"/>
                <w:szCs w:val="20"/>
              </w:rPr>
            </w:pPr>
            <w:r w:rsidRPr="00573875">
              <w:rPr>
                <w:rFonts w:cs="Arial"/>
                <w:color w:val="000000"/>
                <w:szCs w:val="20"/>
              </w:rPr>
              <w:t>1.0%</w:t>
            </w:r>
          </w:p>
        </w:tc>
        <w:tc>
          <w:tcPr>
            <w:tcW w:w="2973" w:type="dxa"/>
            <w:tcBorders>
              <w:bottom w:val="nil"/>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05/07/2017</w:t>
            </w:r>
          </w:p>
        </w:tc>
      </w:tr>
      <w:tr w:rsidR="00573875" w:rsidRPr="00573875" w:rsidTr="00E4772E">
        <w:trPr>
          <w:trHeight w:val="287"/>
        </w:trPr>
        <w:tc>
          <w:tcPr>
            <w:tcW w:w="3736" w:type="dxa"/>
            <w:tcBorders>
              <w:top w:val="nil"/>
              <w:bottom w:val="single" w:sz="4" w:space="0" w:color="8EAADB"/>
            </w:tcBorders>
            <w:shd w:val="clear" w:color="auto" w:fill="auto"/>
          </w:tcPr>
          <w:p w:rsidR="00573875" w:rsidRPr="00573875" w:rsidRDefault="00573875" w:rsidP="00E4772E">
            <w:pPr>
              <w:spacing w:after="0" w:line="240" w:lineRule="auto"/>
              <w:rPr>
                <w:rFonts w:cs="Arial"/>
                <w:b/>
                <w:bCs/>
                <w:i/>
                <w:iCs/>
                <w:color w:val="000000"/>
                <w:szCs w:val="20"/>
              </w:rPr>
            </w:pPr>
          </w:p>
        </w:tc>
        <w:tc>
          <w:tcPr>
            <w:tcW w:w="2291" w:type="dxa"/>
            <w:tcBorders>
              <w:top w:val="nil"/>
              <w:bottom w:val="single" w:sz="4" w:space="0" w:color="8EAADB"/>
            </w:tcBorders>
            <w:shd w:val="clear" w:color="auto" w:fill="auto"/>
          </w:tcPr>
          <w:p w:rsidR="00573875" w:rsidRPr="00573875" w:rsidRDefault="00573875" w:rsidP="00E4772E">
            <w:pPr>
              <w:spacing w:after="0" w:line="240" w:lineRule="auto"/>
              <w:rPr>
                <w:rFonts w:cs="Arial"/>
                <w:color w:val="000000"/>
                <w:szCs w:val="20"/>
              </w:rPr>
            </w:pPr>
            <w:r w:rsidRPr="00573875">
              <w:rPr>
                <w:rFonts w:cs="Arial"/>
                <w:color w:val="000000"/>
                <w:szCs w:val="20"/>
              </w:rPr>
              <w:t>1.25%</w:t>
            </w:r>
          </w:p>
        </w:tc>
        <w:tc>
          <w:tcPr>
            <w:tcW w:w="2973" w:type="dxa"/>
            <w:tcBorders>
              <w:top w:val="nil"/>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01/11/2017</w:t>
            </w:r>
          </w:p>
          <w:p w:rsidR="00573875" w:rsidRPr="00573875" w:rsidRDefault="00573875" w:rsidP="00E4772E">
            <w:pPr>
              <w:spacing w:after="0"/>
              <w:rPr>
                <w:rFonts w:cs="Arial"/>
                <w:color w:val="000000"/>
                <w:szCs w:val="20"/>
              </w:rPr>
            </w:pPr>
            <w:r w:rsidRPr="00573875">
              <w:rPr>
                <w:rFonts w:cs="Arial"/>
                <w:color w:val="000000"/>
                <w:szCs w:val="20"/>
              </w:rPr>
              <w:t>16/12/2017</w:t>
            </w:r>
          </w:p>
          <w:p w:rsidR="00573875" w:rsidRPr="00573875" w:rsidRDefault="00573875" w:rsidP="00E4772E">
            <w:pPr>
              <w:spacing w:after="0"/>
              <w:rPr>
                <w:rFonts w:cs="Arial"/>
                <w:color w:val="000000"/>
                <w:szCs w:val="20"/>
              </w:rPr>
            </w:pPr>
            <w:r w:rsidRPr="00573875">
              <w:rPr>
                <w:rFonts w:cs="Arial"/>
                <w:color w:val="000000"/>
                <w:szCs w:val="20"/>
              </w:rPr>
              <w:t>06/04/2018</w:t>
            </w:r>
          </w:p>
          <w:p w:rsidR="00573875" w:rsidRPr="00573875" w:rsidRDefault="00573875" w:rsidP="00E4772E">
            <w:pPr>
              <w:spacing w:after="0"/>
              <w:rPr>
                <w:rFonts w:cs="Arial"/>
                <w:color w:val="000000"/>
                <w:szCs w:val="20"/>
              </w:rPr>
            </w:pPr>
            <w:r w:rsidRPr="00573875">
              <w:rPr>
                <w:rFonts w:cs="Arial"/>
                <w:color w:val="000000"/>
                <w:szCs w:val="20"/>
              </w:rPr>
              <w:t>28/06/2018</w:t>
            </w:r>
          </w:p>
        </w:tc>
      </w:tr>
      <w:tr w:rsidR="00573875" w:rsidRPr="00573875" w:rsidTr="00E4772E">
        <w:trPr>
          <w:trHeight w:val="287"/>
        </w:trPr>
        <w:tc>
          <w:tcPr>
            <w:tcW w:w="3736" w:type="dxa"/>
            <w:tcBorders>
              <w:bottom w:val="nil"/>
            </w:tcBorders>
            <w:shd w:val="clear" w:color="auto" w:fill="auto"/>
          </w:tcPr>
          <w:p w:rsidR="00573875" w:rsidRPr="00573875" w:rsidRDefault="00573875" w:rsidP="00E4772E">
            <w:pPr>
              <w:spacing w:after="0" w:line="240" w:lineRule="auto"/>
              <w:rPr>
                <w:rFonts w:cs="Arial"/>
                <w:b/>
                <w:bCs/>
                <w:i/>
                <w:iCs/>
                <w:color w:val="000000"/>
                <w:szCs w:val="20"/>
              </w:rPr>
            </w:pPr>
            <w:r w:rsidRPr="00573875">
              <w:rPr>
                <w:rFonts w:cs="Arial"/>
                <w:b/>
                <w:bCs/>
                <w:i/>
                <w:iCs/>
                <w:color w:val="000000"/>
                <w:szCs w:val="20"/>
              </w:rPr>
              <w:t>Norway</w:t>
            </w:r>
          </w:p>
        </w:tc>
        <w:tc>
          <w:tcPr>
            <w:tcW w:w="2291" w:type="dxa"/>
            <w:tcBorders>
              <w:bottom w:val="nil"/>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1.5%</w:t>
            </w: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30/06/2017</w:t>
            </w:r>
          </w:p>
        </w:tc>
      </w:tr>
      <w:tr w:rsidR="00573875" w:rsidRPr="00573875" w:rsidTr="00E4772E">
        <w:trPr>
          <w:trHeight w:val="287"/>
        </w:trPr>
        <w:tc>
          <w:tcPr>
            <w:tcW w:w="3736" w:type="dxa"/>
            <w:tcBorders>
              <w:top w:val="nil"/>
              <w:bottom w:val="nil"/>
            </w:tcBorders>
            <w:shd w:val="clear" w:color="auto" w:fill="auto"/>
          </w:tcPr>
          <w:p w:rsidR="00573875" w:rsidRPr="00573875" w:rsidRDefault="00573875" w:rsidP="00E4772E">
            <w:pPr>
              <w:spacing w:after="0" w:line="240" w:lineRule="auto"/>
              <w:rPr>
                <w:rFonts w:cs="Arial"/>
                <w:b/>
                <w:bCs/>
                <w:i/>
                <w:iCs/>
                <w:color w:val="000000"/>
                <w:szCs w:val="20"/>
              </w:rPr>
            </w:pPr>
          </w:p>
        </w:tc>
        <w:tc>
          <w:tcPr>
            <w:tcW w:w="2291" w:type="dxa"/>
            <w:tcBorders>
              <w:top w:val="nil"/>
              <w:bottom w:val="nil"/>
            </w:tcBorders>
            <w:shd w:val="clear" w:color="auto" w:fill="auto"/>
          </w:tcPr>
          <w:p w:rsidR="00573875" w:rsidRPr="00573875" w:rsidRDefault="00573875" w:rsidP="00E4772E">
            <w:pPr>
              <w:spacing w:after="0"/>
              <w:rPr>
                <w:rFonts w:cs="Arial"/>
                <w:color w:val="000000"/>
                <w:szCs w:val="20"/>
              </w:rPr>
            </w:pP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30/09/2017</w:t>
            </w:r>
          </w:p>
        </w:tc>
      </w:tr>
      <w:tr w:rsidR="00573875" w:rsidRPr="00573875" w:rsidTr="00E4772E">
        <w:trPr>
          <w:trHeight w:val="287"/>
        </w:trPr>
        <w:tc>
          <w:tcPr>
            <w:tcW w:w="3736" w:type="dxa"/>
            <w:tcBorders>
              <w:top w:val="nil"/>
              <w:bottom w:val="single" w:sz="4" w:space="0" w:color="8EAADB"/>
            </w:tcBorders>
            <w:shd w:val="clear" w:color="auto" w:fill="auto"/>
          </w:tcPr>
          <w:p w:rsidR="00573875" w:rsidRPr="00573875" w:rsidRDefault="00573875" w:rsidP="00E4772E">
            <w:pPr>
              <w:spacing w:after="0" w:line="240" w:lineRule="auto"/>
              <w:rPr>
                <w:rFonts w:cs="Arial"/>
                <w:b/>
                <w:bCs/>
                <w:i/>
                <w:iCs/>
                <w:color w:val="000000"/>
                <w:szCs w:val="20"/>
              </w:rPr>
            </w:pPr>
          </w:p>
        </w:tc>
        <w:tc>
          <w:tcPr>
            <w:tcW w:w="2291" w:type="dxa"/>
            <w:tcBorders>
              <w:top w:val="nil"/>
              <w:bottom w:val="single" w:sz="4" w:space="0" w:color="8EAADB"/>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2.0%</w:t>
            </w: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31/12/2017</w:t>
            </w:r>
          </w:p>
        </w:tc>
      </w:tr>
      <w:tr w:rsidR="00573875" w:rsidRPr="00573875" w:rsidTr="00E4772E">
        <w:trPr>
          <w:trHeight w:val="287"/>
        </w:trPr>
        <w:tc>
          <w:tcPr>
            <w:tcW w:w="3736" w:type="dxa"/>
            <w:tcBorders>
              <w:top w:val="single" w:sz="4" w:space="0" w:color="8EAADB"/>
              <w:bottom w:val="nil"/>
            </w:tcBorders>
            <w:shd w:val="clear" w:color="auto" w:fill="auto"/>
          </w:tcPr>
          <w:p w:rsidR="00573875" w:rsidRPr="00573875" w:rsidRDefault="00573875" w:rsidP="00E4772E">
            <w:pPr>
              <w:spacing w:after="0" w:line="240" w:lineRule="auto"/>
              <w:rPr>
                <w:rFonts w:cs="Arial"/>
                <w:b/>
                <w:bCs/>
                <w:i/>
                <w:iCs/>
                <w:color w:val="000000"/>
                <w:szCs w:val="20"/>
              </w:rPr>
            </w:pPr>
            <w:r w:rsidRPr="00573875">
              <w:rPr>
                <w:rFonts w:cs="Arial"/>
                <w:b/>
                <w:bCs/>
                <w:i/>
                <w:iCs/>
                <w:color w:val="000000"/>
                <w:szCs w:val="20"/>
              </w:rPr>
              <w:t>Slovakia</w:t>
            </w:r>
          </w:p>
        </w:tc>
        <w:tc>
          <w:tcPr>
            <w:tcW w:w="2291" w:type="dxa"/>
            <w:tcBorders>
              <w:top w:val="single" w:sz="4" w:space="0" w:color="8EAADB"/>
              <w:bottom w:val="nil"/>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0.5%</w:t>
            </w: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01/08/2017</w:t>
            </w:r>
          </w:p>
        </w:tc>
      </w:tr>
      <w:tr w:rsidR="00573875" w:rsidRPr="00573875" w:rsidTr="00E4772E">
        <w:trPr>
          <w:trHeight w:val="287"/>
        </w:trPr>
        <w:tc>
          <w:tcPr>
            <w:tcW w:w="3736" w:type="dxa"/>
            <w:tcBorders>
              <w:top w:val="nil"/>
              <w:bottom w:val="nil"/>
            </w:tcBorders>
            <w:shd w:val="clear" w:color="auto" w:fill="auto"/>
          </w:tcPr>
          <w:p w:rsidR="00573875" w:rsidRPr="00573875" w:rsidRDefault="00573875" w:rsidP="00E4772E">
            <w:pPr>
              <w:spacing w:after="0" w:line="240" w:lineRule="auto"/>
              <w:rPr>
                <w:rFonts w:cs="Arial"/>
                <w:b/>
                <w:bCs/>
                <w:i/>
                <w:iCs/>
                <w:color w:val="000000"/>
                <w:szCs w:val="20"/>
              </w:rPr>
            </w:pPr>
          </w:p>
        </w:tc>
        <w:tc>
          <w:tcPr>
            <w:tcW w:w="2291" w:type="dxa"/>
            <w:tcBorders>
              <w:top w:val="nil"/>
              <w:bottom w:val="nil"/>
            </w:tcBorders>
            <w:shd w:val="clear" w:color="auto" w:fill="auto"/>
          </w:tcPr>
          <w:p w:rsidR="00573875" w:rsidRPr="00573875" w:rsidRDefault="00573875" w:rsidP="00E4772E">
            <w:pPr>
              <w:spacing w:after="0"/>
              <w:rPr>
                <w:rFonts w:cs="Arial"/>
                <w:color w:val="000000"/>
                <w:szCs w:val="20"/>
              </w:rPr>
            </w:pP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01/11/2017</w:t>
            </w:r>
          </w:p>
        </w:tc>
      </w:tr>
      <w:tr w:rsidR="00573875" w:rsidRPr="00573875" w:rsidTr="00E4772E">
        <w:trPr>
          <w:trHeight w:val="287"/>
        </w:trPr>
        <w:tc>
          <w:tcPr>
            <w:tcW w:w="3736" w:type="dxa"/>
            <w:tcBorders>
              <w:top w:val="nil"/>
              <w:bottom w:val="nil"/>
            </w:tcBorders>
            <w:shd w:val="clear" w:color="auto" w:fill="auto"/>
          </w:tcPr>
          <w:p w:rsidR="00573875" w:rsidRPr="00573875" w:rsidRDefault="00573875" w:rsidP="00E4772E">
            <w:pPr>
              <w:spacing w:after="0" w:line="240" w:lineRule="auto"/>
              <w:rPr>
                <w:rFonts w:cs="Arial"/>
                <w:b/>
                <w:bCs/>
                <w:i/>
                <w:iCs/>
                <w:color w:val="000000"/>
                <w:szCs w:val="20"/>
              </w:rPr>
            </w:pPr>
          </w:p>
        </w:tc>
        <w:tc>
          <w:tcPr>
            <w:tcW w:w="2291" w:type="dxa"/>
            <w:tcBorders>
              <w:top w:val="nil"/>
              <w:bottom w:val="nil"/>
            </w:tcBorders>
            <w:shd w:val="clear" w:color="auto" w:fill="auto"/>
          </w:tcPr>
          <w:p w:rsidR="00573875" w:rsidRPr="00573875" w:rsidRDefault="00573875" w:rsidP="00E4772E">
            <w:pPr>
              <w:spacing w:after="0"/>
              <w:rPr>
                <w:rFonts w:cs="Arial"/>
                <w:color w:val="000000"/>
                <w:szCs w:val="20"/>
              </w:rPr>
            </w:pP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01/02/2018</w:t>
            </w:r>
          </w:p>
        </w:tc>
      </w:tr>
      <w:tr w:rsidR="00573875" w:rsidRPr="00573875" w:rsidTr="00E4772E">
        <w:trPr>
          <w:trHeight w:val="287"/>
        </w:trPr>
        <w:tc>
          <w:tcPr>
            <w:tcW w:w="3736" w:type="dxa"/>
            <w:tcBorders>
              <w:top w:val="nil"/>
              <w:bottom w:val="nil"/>
            </w:tcBorders>
            <w:shd w:val="clear" w:color="auto" w:fill="auto"/>
          </w:tcPr>
          <w:p w:rsidR="00573875" w:rsidRPr="00573875" w:rsidRDefault="00573875" w:rsidP="00E4772E">
            <w:pPr>
              <w:spacing w:after="0"/>
              <w:rPr>
                <w:rFonts w:cs="Arial"/>
                <w:b/>
                <w:bCs/>
                <w:i/>
                <w:iCs/>
                <w:color w:val="000000"/>
                <w:szCs w:val="20"/>
              </w:rPr>
            </w:pPr>
          </w:p>
        </w:tc>
        <w:tc>
          <w:tcPr>
            <w:tcW w:w="2291" w:type="dxa"/>
            <w:tcBorders>
              <w:top w:val="nil"/>
              <w:bottom w:val="nil"/>
            </w:tcBorders>
            <w:shd w:val="clear" w:color="auto" w:fill="auto"/>
          </w:tcPr>
          <w:p w:rsidR="00573875" w:rsidRPr="00573875" w:rsidRDefault="00573875" w:rsidP="00E4772E">
            <w:pPr>
              <w:spacing w:after="0"/>
              <w:rPr>
                <w:rFonts w:cs="Arial"/>
                <w:color w:val="000000"/>
                <w:szCs w:val="20"/>
              </w:rPr>
            </w:pPr>
          </w:p>
        </w:tc>
        <w:tc>
          <w:tcPr>
            <w:tcW w:w="2973" w:type="dxa"/>
            <w:tcBorders>
              <w:bottom w:val="nil"/>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01/05/2018</w:t>
            </w:r>
          </w:p>
        </w:tc>
      </w:tr>
      <w:tr w:rsidR="00573875" w:rsidRPr="00573875" w:rsidTr="00E4772E">
        <w:trPr>
          <w:trHeight w:val="287"/>
        </w:trPr>
        <w:tc>
          <w:tcPr>
            <w:tcW w:w="3736" w:type="dxa"/>
            <w:tcBorders>
              <w:top w:val="nil"/>
            </w:tcBorders>
            <w:shd w:val="clear" w:color="auto" w:fill="auto"/>
          </w:tcPr>
          <w:p w:rsidR="00573875" w:rsidRPr="00573875" w:rsidRDefault="00573875" w:rsidP="00E4772E">
            <w:pPr>
              <w:spacing w:after="0"/>
              <w:rPr>
                <w:rFonts w:cs="Arial"/>
                <w:b/>
                <w:bCs/>
                <w:i/>
                <w:iCs/>
                <w:color w:val="000000"/>
                <w:szCs w:val="20"/>
              </w:rPr>
            </w:pPr>
          </w:p>
        </w:tc>
        <w:tc>
          <w:tcPr>
            <w:tcW w:w="2291" w:type="dxa"/>
            <w:tcBorders>
              <w:top w:val="nil"/>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1,25%</w:t>
            </w:r>
          </w:p>
        </w:tc>
        <w:tc>
          <w:tcPr>
            <w:tcW w:w="2973" w:type="dxa"/>
            <w:tcBorders>
              <w:top w:val="nil"/>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01/08/2018</w:t>
            </w:r>
          </w:p>
        </w:tc>
      </w:tr>
      <w:tr w:rsidR="00573875" w:rsidRPr="00573875" w:rsidTr="001B676D">
        <w:trPr>
          <w:trHeight w:val="287"/>
        </w:trPr>
        <w:tc>
          <w:tcPr>
            <w:tcW w:w="3736" w:type="dxa"/>
            <w:tcBorders>
              <w:top w:val="nil"/>
            </w:tcBorders>
            <w:shd w:val="clear" w:color="auto" w:fill="auto"/>
          </w:tcPr>
          <w:p w:rsidR="00573875" w:rsidRPr="00573875" w:rsidRDefault="00573875" w:rsidP="001B676D">
            <w:pPr>
              <w:spacing w:after="0"/>
              <w:jc w:val="left"/>
              <w:rPr>
                <w:rFonts w:cs="Arial"/>
                <w:b/>
                <w:bCs/>
                <w:i/>
                <w:iCs/>
                <w:color w:val="000000"/>
                <w:szCs w:val="20"/>
              </w:rPr>
            </w:pPr>
            <w:r w:rsidRPr="00573875">
              <w:rPr>
                <w:rFonts w:cs="Arial"/>
                <w:b/>
                <w:bCs/>
                <w:i/>
                <w:iCs/>
                <w:color w:val="000000"/>
                <w:szCs w:val="20"/>
              </w:rPr>
              <w:t>Sweden</w:t>
            </w:r>
          </w:p>
        </w:tc>
        <w:tc>
          <w:tcPr>
            <w:tcW w:w="2291" w:type="dxa"/>
            <w:tcBorders>
              <w:top w:val="nil"/>
            </w:tcBorders>
            <w:shd w:val="clear" w:color="auto" w:fill="auto"/>
          </w:tcPr>
          <w:p w:rsidR="00573875" w:rsidRPr="00573875" w:rsidRDefault="00573875" w:rsidP="001B676D">
            <w:pPr>
              <w:spacing w:after="0"/>
              <w:jc w:val="left"/>
              <w:rPr>
                <w:rFonts w:cs="Arial"/>
                <w:color w:val="000000"/>
                <w:szCs w:val="20"/>
              </w:rPr>
            </w:pPr>
            <w:r w:rsidRPr="00573875">
              <w:rPr>
                <w:rFonts w:cs="Arial"/>
                <w:color w:val="000000"/>
                <w:szCs w:val="20"/>
              </w:rPr>
              <w:t>2.0%</w:t>
            </w:r>
          </w:p>
        </w:tc>
        <w:tc>
          <w:tcPr>
            <w:tcW w:w="2973" w:type="dxa"/>
            <w:shd w:val="clear" w:color="auto" w:fill="auto"/>
          </w:tcPr>
          <w:p w:rsidR="00573875" w:rsidRPr="00573875" w:rsidRDefault="00573875" w:rsidP="001B676D">
            <w:pPr>
              <w:spacing w:after="0"/>
              <w:jc w:val="left"/>
              <w:rPr>
                <w:rFonts w:cs="Arial"/>
                <w:color w:val="000000"/>
                <w:szCs w:val="20"/>
              </w:rPr>
            </w:pPr>
            <w:r w:rsidRPr="00573875">
              <w:rPr>
                <w:rFonts w:cs="Arial"/>
                <w:color w:val="000000"/>
                <w:szCs w:val="20"/>
              </w:rPr>
              <w:t>19/03/2017</w:t>
            </w:r>
          </w:p>
        </w:tc>
      </w:tr>
      <w:tr w:rsidR="00573875" w:rsidRPr="00573875" w:rsidTr="00E4772E">
        <w:trPr>
          <w:trHeight w:val="287"/>
        </w:trPr>
        <w:tc>
          <w:tcPr>
            <w:tcW w:w="3736" w:type="dxa"/>
            <w:tcBorders>
              <w:top w:val="nil"/>
              <w:bottom w:val="nil"/>
            </w:tcBorders>
            <w:shd w:val="clear" w:color="auto" w:fill="auto"/>
          </w:tcPr>
          <w:p w:rsidR="00573875" w:rsidRPr="00573875" w:rsidRDefault="00573875" w:rsidP="00E4772E">
            <w:pPr>
              <w:spacing w:after="0"/>
              <w:rPr>
                <w:rFonts w:cs="Arial"/>
                <w:b/>
                <w:bCs/>
                <w:i/>
                <w:iCs/>
                <w:color w:val="000000"/>
                <w:szCs w:val="20"/>
              </w:rPr>
            </w:pPr>
            <w:r w:rsidRPr="00573875">
              <w:rPr>
                <w:rFonts w:cs="Arial"/>
                <w:b/>
                <w:bCs/>
                <w:i/>
                <w:iCs/>
                <w:color w:val="000000"/>
                <w:szCs w:val="20"/>
              </w:rPr>
              <w:t>United Kingdom</w:t>
            </w:r>
          </w:p>
        </w:tc>
        <w:tc>
          <w:tcPr>
            <w:tcW w:w="2291" w:type="dxa"/>
            <w:tcBorders>
              <w:top w:val="nil"/>
              <w:bottom w:val="nil"/>
            </w:tcBorders>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0.5%</w:t>
            </w: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29/03/2017</w:t>
            </w:r>
          </w:p>
        </w:tc>
      </w:tr>
      <w:tr w:rsidR="00573875" w:rsidRPr="00573875" w:rsidTr="00E4772E">
        <w:trPr>
          <w:trHeight w:val="287"/>
        </w:trPr>
        <w:tc>
          <w:tcPr>
            <w:tcW w:w="3736" w:type="dxa"/>
            <w:tcBorders>
              <w:top w:val="nil"/>
            </w:tcBorders>
            <w:shd w:val="clear" w:color="auto" w:fill="auto"/>
          </w:tcPr>
          <w:p w:rsidR="00573875" w:rsidRPr="00573875" w:rsidRDefault="00573875" w:rsidP="00E4772E">
            <w:pPr>
              <w:spacing w:after="0"/>
              <w:rPr>
                <w:rFonts w:cs="Arial"/>
                <w:b/>
                <w:bCs/>
                <w:i/>
                <w:iCs/>
                <w:color w:val="000000"/>
                <w:szCs w:val="20"/>
              </w:rPr>
            </w:pPr>
          </w:p>
        </w:tc>
        <w:tc>
          <w:tcPr>
            <w:tcW w:w="2291" w:type="dxa"/>
            <w:tcBorders>
              <w:top w:val="nil"/>
            </w:tcBorders>
            <w:shd w:val="clear" w:color="auto" w:fill="auto"/>
          </w:tcPr>
          <w:p w:rsidR="00573875" w:rsidRPr="00573875" w:rsidRDefault="00573875" w:rsidP="00E4772E">
            <w:pPr>
              <w:spacing w:after="0"/>
              <w:rPr>
                <w:rFonts w:cs="Arial"/>
                <w:color w:val="000000"/>
                <w:szCs w:val="20"/>
              </w:rPr>
            </w:pPr>
          </w:p>
        </w:tc>
        <w:tc>
          <w:tcPr>
            <w:tcW w:w="2973" w:type="dxa"/>
            <w:shd w:val="clear" w:color="auto" w:fill="auto"/>
          </w:tcPr>
          <w:p w:rsidR="00573875" w:rsidRPr="00573875" w:rsidRDefault="00573875" w:rsidP="00E4772E">
            <w:pPr>
              <w:spacing w:after="0"/>
              <w:rPr>
                <w:rFonts w:cs="Arial"/>
                <w:color w:val="000000"/>
                <w:szCs w:val="20"/>
              </w:rPr>
            </w:pPr>
            <w:r w:rsidRPr="00573875">
              <w:rPr>
                <w:rFonts w:cs="Arial"/>
                <w:color w:val="000000"/>
                <w:szCs w:val="20"/>
              </w:rPr>
              <w:t>27/06/2018</w:t>
            </w:r>
          </w:p>
        </w:tc>
      </w:tr>
    </w:tbl>
    <w:p w:rsidR="00573875" w:rsidRPr="00573875" w:rsidRDefault="00573875" w:rsidP="00573875">
      <w:pPr>
        <w:spacing w:after="360"/>
        <w:rPr>
          <w:lang w:val="en-US"/>
        </w:rPr>
      </w:pPr>
      <w:r w:rsidRPr="000D6B47">
        <w:rPr>
          <w:rFonts w:cs="Arial"/>
          <w:szCs w:val="20"/>
          <w:lang w:val="en-US"/>
        </w:rPr>
        <w:lastRenderedPageBreak/>
        <w:t xml:space="preserve">The list of applicable CCyB rates in non-EU/EEA countries can be consulted on </w:t>
      </w:r>
      <w:r w:rsidRPr="000D6B47">
        <w:rPr>
          <w:rStyle w:val="Hyperlink"/>
          <w:rFonts w:cs="Arial"/>
          <w:szCs w:val="20"/>
          <w:lang w:val="en-US"/>
        </w:rPr>
        <w:t xml:space="preserve">the </w:t>
      </w:r>
      <w:hyperlink r:id="rId57" w:history="1">
        <w:r w:rsidRPr="000D6B47">
          <w:rPr>
            <w:rStyle w:val="Hyperlink"/>
            <w:rFonts w:cs="Arial"/>
            <w:szCs w:val="20"/>
            <w:lang w:val="en-US"/>
          </w:rPr>
          <w:t>website of the Bank of International Settlements</w:t>
        </w:r>
      </w:hyperlink>
      <w:r w:rsidRPr="00573875">
        <w:rPr>
          <w:rStyle w:val="Hyperlink"/>
          <w:rFonts w:cs="Arial"/>
          <w:color w:val="auto"/>
          <w:szCs w:val="20"/>
          <w:u w:val="none"/>
          <w:lang w:val="en-US"/>
        </w:rPr>
        <w:t>.</w:t>
      </w:r>
    </w:p>
    <w:p w:rsidR="00573875" w:rsidRDefault="00573875" w:rsidP="00573875">
      <w:pPr>
        <w:pStyle w:val="Heading2"/>
        <w:rPr>
          <w:lang w:val="en-US"/>
        </w:rPr>
      </w:pPr>
      <w:r w:rsidRPr="003B2F15">
        <w:rPr>
          <w:lang w:val="en-US"/>
        </w:rPr>
        <w:t>Basel Committee of Banking Supervision (BCBS)</w:t>
      </w:r>
    </w:p>
    <w:p w:rsidR="00573875" w:rsidRDefault="00573875" w:rsidP="00573875">
      <w:pPr>
        <w:pStyle w:val="Heading3"/>
        <w:rPr>
          <w:bCs/>
          <w:lang w:val="en-US"/>
        </w:rPr>
      </w:pPr>
      <w:r>
        <w:rPr>
          <w:bCs/>
          <w:lang w:val="en-US"/>
        </w:rPr>
        <w:t>Publications and Consultations</w:t>
      </w:r>
    </w:p>
    <w:p w:rsidR="00573875" w:rsidRPr="00546F9C" w:rsidRDefault="00573875" w:rsidP="00573875">
      <w:pPr>
        <w:spacing w:after="0"/>
        <w:rPr>
          <w:bCs/>
          <w:u w:val="single"/>
          <w:lang w:val="en-US"/>
        </w:rPr>
      </w:pPr>
      <w:r w:rsidRPr="00856F57">
        <w:rPr>
          <w:b/>
          <w:lang w:val="en-US"/>
        </w:rPr>
        <w:t>5 September 2017</w:t>
      </w:r>
      <w:r w:rsidRPr="00856F57">
        <w:rPr>
          <w:lang w:val="en-US"/>
        </w:rPr>
        <w:t xml:space="preserve"> – </w:t>
      </w:r>
      <w:hyperlink r:id="rId58" w:history="1">
        <w:r w:rsidRPr="00546F9C">
          <w:rPr>
            <w:rStyle w:val="Hyperlink"/>
            <w:bCs/>
            <w:lang w:val="en-US"/>
          </w:rPr>
          <w:t>BCBS and IFRS Foundation signed a new cooperation agreement</w:t>
        </w:r>
      </w:hyperlink>
    </w:p>
    <w:p w:rsidR="00573875" w:rsidRDefault="00573875" w:rsidP="00573875">
      <w:pPr>
        <w:spacing w:after="360"/>
        <w:rPr>
          <w:lang w:val="en-US"/>
        </w:rPr>
      </w:pPr>
      <w:r w:rsidRPr="00546F9C">
        <w:rPr>
          <w:lang w:val="en-US"/>
        </w:rPr>
        <w:t>The BCBS and IFRS Foundation have signed a new cooperation agreement, in the for</w:t>
      </w:r>
      <w:r w:rsidRPr="00981CEF">
        <w:rPr>
          <w:lang w:val="en-US"/>
        </w:rPr>
        <w:t xml:space="preserve">m of a </w:t>
      </w:r>
      <w:hyperlink r:id="rId59" w:history="1">
        <w:r w:rsidRPr="00981CEF">
          <w:rPr>
            <w:lang w:val="en-US"/>
          </w:rPr>
          <w:t>Memorandum of Understanding</w:t>
        </w:r>
      </w:hyperlink>
      <w:r w:rsidRPr="00981CEF">
        <w:rPr>
          <w:lang w:val="en-US"/>
        </w:rPr>
        <w:t xml:space="preserve"> (MoU)</w:t>
      </w:r>
      <w:r w:rsidR="00164C73">
        <w:rPr>
          <w:lang w:val="en-US"/>
        </w:rPr>
        <w:t>, aimed to formalis</w:t>
      </w:r>
      <w:r>
        <w:rPr>
          <w:lang w:val="en-US"/>
        </w:rPr>
        <w:t>e</w:t>
      </w:r>
      <w:r w:rsidRPr="00981CEF">
        <w:rPr>
          <w:lang w:val="en-US"/>
        </w:rPr>
        <w:t xml:space="preserve"> the mutual interaction and </w:t>
      </w:r>
      <w:r>
        <w:rPr>
          <w:lang w:val="en-US"/>
        </w:rPr>
        <w:t xml:space="preserve">to strengthen </w:t>
      </w:r>
      <w:r w:rsidRPr="00981CEF">
        <w:rPr>
          <w:lang w:val="en-US"/>
        </w:rPr>
        <w:t>the existing relationship between the BCBS and the IFRS Foundation at the strategic and working level, focusing on the development of IFRS Standards, the interaction between IFRS Standards and the BCBS Framework and the manner in which they are applied in practice by financial institutions across the world.</w:t>
      </w:r>
    </w:p>
    <w:p w:rsidR="00573875" w:rsidRDefault="00573875" w:rsidP="00573875">
      <w:pPr>
        <w:spacing w:after="0"/>
        <w:rPr>
          <w:b/>
          <w:bCs/>
          <w:lang w:val="en-US"/>
        </w:rPr>
      </w:pPr>
      <w:r>
        <w:rPr>
          <w:b/>
          <w:lang w:val="en-US"/>
        </w:rPr>
        <w:t>12</w:t>
      </w:r>
      <w:r w:rsidRPr="00856F57">
        <w:rPr>
          <w:b/>
          <w:lang w:val="en-US"/>
        </w:rPr>
        <w:t xml:space="preserve"> September 2017</w:t>
      </w:r>
      <w:r w:rsidRPr="00856F57">
        <w:rPr>
          <w:lang w:val="en-US"/>
        </w:rPr>
        <w:t xml:space="preserve"> – </w:t>
      </w:r>
      <w:hyperlink r:id="rId60" w:history="1">
        <w:r>
          <w:rPr>
            <w:rStyle w:val="Hyperlink"/>
            <w:lang w:val="en-US"/>
          </w:rPr>
          <w:t>BC</w:t>
        </w:r>
        <w:r w:rsidRPr="00E62169">
          <w:rPr>
            <w:rStyle w:val="Hyperlink"/>
            <w:lang w:val="en-US"/>
          </w:rPr>
          <w:t>BS published Basel III monitoring results as of December 2016</w:t>
        </w:r>
      </w:hyperlink>
    </w:p>
    <w:p w:rsidR="00573875" w:rsidRPr="00573875" w:rsidRDefault="00573875" w:rsidP="00573875">
      <w:pPr>
        <w:spacing w:after="360"/>
        <w:rPr>
          <w:lang w:val="en-US"/>
        </w:rPr>
      </w:pPr>
      <w:r>
        <w:rPr>
          <w:lang w:val="en-US"/>
        </w:rPr>
        <w:t xml:space="preserve">The BCBS has published its Basel III monitoring results as of December 2016. </w:t>
      </w:r>
      <w:r w:rsidRPr="00E62169">
        <w:rPr>
          <w:lang w:val="en-US"/>
        </w:rPr>
        <w:t>The report notes that all banks in the sample meet both the Basel III risk-based capital minimum Common Equity Tier 1 (CET1) requirement of 4.5% and the target level CET1 requirement of 7.0% (plus any surcharges for G-SIBs, as applicable). Between 30 June and 31 December 2016, Group 1 banks</w:t>
      </w:r>
      <w:r>
        <w:rPr>
          <w:lang w:val="en-US"/>
        </w:rPr>
        <w:t xml:space="preserve"> (no Luxembourg bank included)</w:t>
      </w:r>
      <w:r w:rsidRPr="00E62169">
        <w:rPr>
          <w:lang w:val="en-US"/>
        </w:rPr>
        <w:t xml:space="preserve"> continued to reduce their capital shortfalls relative to the higher Tier 1 and total capital target levels.</w:t>
      </w:r>
      <w:r w:rsidRPr="00F6608E">
        <w:rPr>
          <w:lang w:val="en-US"/>
        </w:rPr>
        <w:t xml:space="preserve"> The Basel Committee's sample also includes 95 "Group 2 banks" (ie banks that have Tier 1 capital of less than €3 billion or are not internationally active)</w:t>
      </w:r>
      <w:r>
        <w:rPr>
          <w:lang w:val="en-US"/>
        </w:rPr>
        <w:t xml:space="preserve"> </w:t>
      </w:r>
      <w:r w:rsidRPr="00F6608E">
        <w:rPr>
          <w:lang w:val="en-US"/>
        </w:rPr>
        <w:t>including one Luxembourg bank.</w:t>
      </w:r>
      <w:r>
        <w:rPr>
          <w:rFonts w:ascii="Segoe UI" w:hAnsi="Segoe UI" w:cs="Segoe UI"/>
          <w:color w:val="372F32"/>
          <w:sz w:val="19"/>
          <w:szCs w:val="19"/>
          <w:lang w:val="en"/>
        </w:rPr>
        <w:t xml:space="preserve"> </w:t>
      </w:r>
      <w:r w:rsidRPr="00546F9C">
        <w:rPr>
          <w:lang w:val="en"/>
        </w:rPr>
        <w:t>The monitoring reports also collect bank data on Bas</w:t>
      </w:r>
      <w:r>
        <w:rPr>
          <w:lang w:val="en"/>
        </w:rPr>
        <w:t xml:space="preserve">el III's liquidity requirements and </w:t>
      </w:r>
      <w:r w:rsidRPr="00546F9C">
        <w:rPr>
          <w:lang w:val="en"/>
        </w:rPr>
        <w:t xml:space="preserve">include a longer-term structural liquidity standard - the </w:t>
      </w:r>
      <w:r w:rsidRPr="00F6608E">
        <w:rPr>
          <w:lang w:val="en"/>
        </w:rPr>
        <w:t>Net Stable Funding Ratio (NSFR)</w:t>
      </w:r>
      <w:r w:rsidRPr="00546F9C">
        <w:rPr>
          <w:lang w:val="en"/>
        </w:rPr>
        <w:t>.</w:t>
      </w:r>
    </w:p>
    <w:p w:rsidR="00573875" w:rsidRPr="00546F9C" w:rsidRDefault="00573875" w:rsidP="00573875">
      <w:pPr>
        <w:spacing w:after="0"/>
        <w:rPr>
          <w:bCs/>
          <w:lang w:val="en-US"/>
        </w:rPr>
      </w:pPr>
      <w:r>
        <w:rPr>
          <w:b/>
          <w:lang w:val="en-US"/>
        </w:rPr>
        <w:t>19</w:t>
      </w:r>
      <w:r w:rsidRPr="00856F57">
        <w:rPr>
          <w:b/>
          <w:lang w:val="en-US"/>
        </w:rPr>
        <w:t xml:space="preserve"> September 2017</w:t>
      </w:r>
      <w:r w:rsidRPr="00856F57">
        <w:rPr>
          <w:lang w:val="en-US"/>
        </w:rPr>
        <w:t xml:space="preserve"> –</w:t>
      </w:r>
      <w:r>
        <w:rPr>
          <w:lang w:val="en-US"/>
        </w:rPr>
        <w:t xml:space="preserve"> </w:t>
      </w:r>
      <w:hyperlink r:id="rId61" w:history="1">
        <w:r w:rsidRPr="00546F9C">
          <w:rPr>
            <w:rStyle w:val="Hyperlink"/>
            <w:bCs/>
            <w:lang w:val="en-US"/>
          </w:rPr>
          <w:t>BCBS published FAQs on Basel III definition of capital</w:t>
        </w:r>
      </w:hyperlink>
    </w:p>
    <w:p w:rsidR="00573875" w:rsidRDefault="00573875" w:rsidP="00573875">
      <w:pPr>
        <w:spacing w:after="360"/>
        <w:rPr>
          <w:lang w:val="en-US"/>
        </w:rPr>
      </w:pPr>
      <w:r>
        <w:rPr>
          <w:lang w:val="en-US"/>
        </w:rPr>
        <w:t xml:space="preserve">The BCBS has published its </w:t>
      </w:r>
      <w:r w:rsidRPr="009336DF">
        <w:rPr>
          <w:lang w:val="en-US"/>
        </w:rPr>
        <w:t>FAQs on Basel III definition of capital</w:t>
      </w:r>
      <w:r>
        <w:rPr>
          <w:lang w:val="en-US"/>
        </w:rPr>
        <w:t xml:space="preserve">. </w:t>
      </w:r>
      <w:r w:rsidRPr="009336DF">
        <w:rPr>
          <w:lang w:val="en-US"/>
        </w:rPr>
        <w:t xml:space="preserve">The </w:t>
      </w:r>
      <w:r w:rsidRPr="006321AA">
        <w:rPr>
          <w:lang w:val="en-US"/>
        </w:rPr>
        <w:t>FAQs</w:t>
      </w:r>
      <w:r w:rsidRPr="009336DF">
        <w:rPr>
          <w:lang w:val="en-US"/>
        </w:rPr>
        <w:t xml:space="preserve"> published in this document correspond to the definition of capital sections of the Basel III standards and the 13 January 2011 press release on the loss absorbency of capital at the point of non-viability. The FAQs that have been added since the publication of the third version of this document are listed at the start of the document and marked in italics.</w:t>
      </w:r>
    </w:p>
    <w:p w:rsidR="00573875" w:rsidRDefault="00573875" w:rsidP="00573875">
      <w:pPr>
        <w:pStyle w:val="Heading2"/>
        <w:spacing w:after="240"/>
        <w:rPr>
          <w:lang w:val="en"/>
        </w:rPr>
      </w:pPr>
      <w:r w:rsidRPr="005E4887">
        <w:rPr>
          <w:lang w:val="en"/>
        </w:rPr>
        <w:t>Financial Stability Board (FSB) and International Monetary Fund (IMF)</w:t>
      </w:r>
    </w:p>
    <w:p w:rsidR="00573875" w:rsidRPr="005E4887" w:rsidRDefault="00573875" w:rsidP="00573875">
      <w:pPr>
        <w:pStyle w:val="Heading3"/>
        <w:rPr>
          <w:bCs/>
          <w:lang w:val="en-US"/>
        </w:rPr>
      </w:pPr>
      <w:r>
        <w:rPr>
          <w:bCs/>
          <w:lang w:val="en-US"/>
        </w:rPr>
        <w:t>Publications and Consultations</w:t>
      </w:r>
    </w:p>
    <w:p w:rsidR="00573875" w:rsidRPr="005853CE" w:rsidRDefault="00573875" w:rsidP="00573875">
      <w:pPr>
        <w:spacing w:after="0"/>
        <w:rPr>
          <w:bCs/>
          <w:lang w:val="en-US"/>
        </w:rPr>
      </w:pPr>
      <w:r w:rsidRPr="005853CE">
        <w:rPr>
          <w:b/>
          <w:lang w:val="en-US"/>
        </w:rPr>
        <w:t>21 September 2017</w:t>
      </w:r>
      <w:r w:rsidRPr="005853CE">
        <w:rPr>
          <w:lang w:val="en-US"/>
        </w:rPr>
        <w:t xml:space="preserve"> – </w:t>
      </w:r>
      <w:hyperlink r:id="rId62" w:history="1">
        <w:r w:rsidRPr="005853CE">
          <w:rPr>
            <w:rStyle w:val="Hyperlink"/>
            <w:bCs/>
            <w:lang w:val="en-US"/>
          </w:rPr>
          <w:t>FSB and IMF issued report on progress with G20 Data Gaps Initiative</w:t>
        </w:r>
      </w:hyperlink>
    </w:p>
    <w:p w:rsidR="00573875" w:rsidRPr="003B2F15" w:rsidRDefault="00573875" w:rsidP="00573875">
      <w:pPr>
        <w:spacing w:after="360"/>
        <w:rPr>
          <w:lang w:val="en-US"/>
        </w:rPr>
      </w:pPr>
      <w:r w:rsidRPr="005853CE">
        <w:rPr>
          <w:lang w:val="en"/>
        </w:rPr>
        <w:t>The FSB and IMF have published the second progress report on the implementation of phase two of the G20 Data Gaps Initiative (DGI-2)</w:t>
      </w:r>
      <w:r w:rsidRPr="005853CE">
        <w:rPr>
          <w:bCs/>
          <w:lang w:val="en-US"/>
        </w:rPr>
        <w:t xml:space="preserve">. </w:t>
      </w:r>
      <w:r w:rsidRPr="005853CE">
        <w:rPr>
          <w:lang w:val="en-US"/>
        </w:rPr>
        <w:t>The report provides an update on the implementation of the recommendations on data gaps identified after the global financial crisis. The work aims to promote the regular flow of timely and reliable statistics for policy use.</w:t>
      </w:r>
    </w:p>
    <w:p w:rsidR="00460449" w:rsidRPr="00D7691C" w:rsidRDefault="00460449" w:rsidP="00D42D46">
      <w:pPr>
        <w:pStyle w:val="Heading1"/>
        <w:rPr>
          <w:lang w:val="en-US"/>
        </w:rPr>
      </w:pPr>
      <w:r w:rsidRPr="00D7691C">
        <w:rPr>
          <w:lang w:val="en-US"/>
        </w:rPr>
        <w:lastRenderedPageBreak/>
        <w:t>COMMUNIQUÉS</w:t>
      </w:r>
    </w:p>
    <w:p w:rsidR="00782828" w:rsidRPr="001E1973" w:rsidRDefault="001E1973" w:rsidP="00782828">
      <w:pPr>
        <w:pStyle w:val="Heading2"/>
        <w:rPr>
          <w:lang w:val="en-US"/>
        </w:rPr>
      </w:pPr>
      <w:r w:rsidRPr="001E1973">
        <w:rPr>
          <w:lang w:val="en-US"/>
        </w:rPr>
        <w:t>Profit and loss account of credit institutions as at 30 June 2017</w:t>
      </w:r>
      <w:r w:rsidR="00A0518B">
        <w:rPr>
          <w:rStyle w:val="FootnoteReference"/>
        </w:rPr>
        <w:footnoteReference w:id="1"/>
      </w:r>
    </w:p>
    <w:p w:rsidR="00782828" w:rsidRPr="001E1973" w:rsidRDefault="001E1973" w:rsidP="00782828">
      <w:pPr>
        <w:pStyle w:val="Heading3"/>
        <w:rPr>
          <w:lang w:val="en-US"/>
        </w:rPr>
      </w:pPr>
      <w:r w:rsidRPr="001E1973">
        <w:rPr>
          <w:lang w:val="en-US"/>
        </w:rPr>
        <w:t>Press release</w:t>
      </w:r>
      <w:r w:rsidR="00E20EA4" w:rsidRPr="001E1973">
        <w:rPr>
          <w:lang w:val="en-US"/>
        </w:rPr>
        <w:t xml:space="preserve"> 17/33 </w:t>
      </w:r>
      <w:r w:rsidRPr="001E1973">
        <w:rPr>
          <w:lang w:val="en-US"/>
        </w:rPr>
        <w:t>of</w:t>
      </w:r>
      <w:r w:rsidR="00E20EA4" w:rsidRPr="001E1973">
        <w:rPr>
          <w:lang w:val="en-US"/>
        </w:rPr>
        <w:t xml:space="preserve"> 22 </w:t>
      </w:r>
      <w:r w:rsidRPr="001E1973">
        <w:rPr>
          <w:lang w:val="en-US"/>
        </w:rPr>
        <w:t>S</w:t>
      </w:r>
      <w:r w:rsidR="00E20EA4" w:rsidRPr="001E1973">
        <w:rPr>
          <w:lang w:val="en-US"/>
        </w:rPr>
        <w:t>eptemb</w:t>
      </w:r>
      <w:r w:rsidRPr="001E1973">
        <w:rPr>
          <w:lang w:val="en-US"/>
        </w:rPr>
        <w:t>er</w:t>
      </w:r>
      <w:r w:rsidR="00E20EA4" w:rsidRPr="001E1973">
        <w:rPr>
          <w:lang w:val="en-US"/>
        </w:rPr>
        <w:t xml:space="preserve"> 2017</w:t>
      </w:r>
    </w:p>
    <w:p w:rsidR="00E20EA4" w:rsidRPr="0027268D" w:rsidRDefault="001E1973" w:rsidP="00E20EA4">
      <w:pPr>
        <w:rPr>
          <w:b/>
          <w:lang w:val="en-US"/>
        </w:rPr>
      </w:pPr>
      <w:r w:rsidRPr="001E1973">
        <w:rPr>
          <w:b/>
          <w:lang w:val="en-US"/>
        </w:rPr>
        <w:t>The CSSF estimates profit before provisions of the Luxembourg banking sector at EUR 3,028 million for the first six months of 2017.</w:t>
      </w:r>
      <w:r w:rsidR="00E20EA4" w:rsidRPr="001E1973">
        <w:rPr>
          <w:b/>
          <w:lang w:val="en-US"/>
        </w:rPr>
        <w:t xml:space="preserve"> </w:t>
      </w:r>
      <w:r w:rsidR="0027268D" w:rsidRPr="0027268D">
        <w:rPr>
          <w:b/>
          <w:lang w:val="en-US"/>
        </w:rPr>
        <w:t>Compared to the same period in 2016, profit before provisions thus slightly decreased by 1.3%.</w:t>
      </w:r>
    </w:p>
    <w:p w:rsidR="00E20EA4" w:rsidRPr="0027268D" w:rsidRDefault="0027268D" w:rsidP="00E20EA4">
      <w:pPr>
        <w:rPr>
          <w:lang w:val="en-US"/>
        </w:rPr>
      </w:pPr>
      <w:r w:rsidRPr="0027268D">
        <w:rPr>
          <w:lang w:val="en-US"/>
        </w:rPr>
        <w:t xml:space="preserve">The negative development of profit before provisions of the Luxembourg credit institutions results from the steady increase of general expenses (+4.0%) which was only partially offset by </w:t>
      </w:r>
      <w:r w:rsidR="00CD45BF">
        <w:rPr>
          <w:lang w:val="en-US"/>
        </w:rPr>
        <w:t xml:space="preserve">the positive development of </w:t>
      </w:r>
      <w:r w:rsidRPr="0027268D">
        <w:rPr>
          <w:lang w:val="en-US"/>
        </w:rPr>
        <w:t>banking income (+1.3%) during the same period.</w:t>
      </w:r>
    </w:p>
    <w:p w:rsidR="00E20EA4" w:rsidRPr="0027268D" w:rsidRDefault="00CD45BF" w:rsidP="00E20EA4">
      <w:pPr>
        <w:rPr>
          <w:lang w:val="en-US"/>
        </w:rPr>
      </w:pPr>
      <w:r>
        <w:rPr>
          <w:lang w:val="en-US"/>
        </w:rPr>
        <w:t xml:space="preserve">The increase of </w:t>
      </w:r>
      <w:r w:rsidR="0027268D" w:rsidRPr="0027268D">
        <w:rPr>
          <w:lang w:val="en-US"/>
        </w:rPr>
        <w:t xml:space="preserve">aggregated banking income is due to </w:t>
      </w:r>
      <w:r>
        <w:rPr>
          <w:lang w:val="en-US"/>
        </w:rPr>
        <w:t xml:space="preserve">a favourable development of </w:t>
      </w:r>
      <w:r w:rsidR="0027268D" w:rsidRPr="0027268D">
        <w:rPr>
          <w:lang w:val="en-US"/>
        </w:rPr>
        <w:t>net interest income and net fee and</w:t>
      </w:r>
      <w:r>
        <w:rPr>
          <w:lang w:val="en-US"/>
        </w:rPr>
        <w:t xml:space="preserve"> commission income, whereas </w:t>
      </w:r>
      <w:r w:rsidR="0027268D" w:rsidRPr="0027268D">
        <w:rPr>
          <w:lang w:val="en-US"/>
        </w:rPr>
        <w:t>other net income, which is historically very volatile, substantially dropped.</w:t>
      </w:r>
      <w:r w:rsidR="00E20EA4" w:rsidRPr="0027268D">
        <w:rPr>
          <w:lang w:val="en-US"/>
        </w:rPr>
        <w:t xml:space="preserve"> </w:t>
      </w:r>
      <w:r>
        <w:rPr>
          <w:b/>
          <w:lang w:val="en-US"/>
        </w:rPr>
        <w:t>N</w:t>
      </w:r>
      <w:r w:rsidR="0027268D" w:rsidRPr="00D7691C">
        <w:rPr>
          <w:b/>
          <w:lang w:val="en-US"/>
        </w:rPr>
        <w:t>et interest income</w:t>
      </w:r>
      <w:r w:rsidR="0027268D" w:rsidRPr="00D7691C">
        <w:rPr>
          <w:lang w:val="en-US"/>
        </w:rPr>
        <w:t xml:space="preserve"> rose by 5.5% on average.</w:t>
      </w:r>
      <w:r w:rsidR="00E20EA4" w:rsidRPr="00D7691C">
        <w:rPr>
          <w:lang w:val="en-US"/>
        </w:rPr>
        <w:t xml:space="preserve"> </w:t>
      </w:r>
      <w:r w:rsidR="0027268D" w:rsidRPr="0027268D">
        <w:rPr>
          <w:lang w:val="en-US"/>
        </w:rPr>
        <w:t>This favourable development, which affects one in every two banks, reflects mainly the increased business volume and the fact that some banks passed on the negative interest rates to their institutional clients.</w:t>
      </w:r>
      <w:r w:rsidR="00E20EA4" w:rsidRPr="0027268D">
        <w:rPr>
          <w:lang w:val="en-US"/>
        </w:rPr>
        <w:t xml:space="preserve"> </w:t>
      </w:r>
      <w:r w:rsidR="0027268D" w:rsidRPr="0027268D">
        <w:rPr>
          <w:lang w:val="en-US"/>
        </w:rPr>
        <w:t xml:space="preserve">The 5.9% rise of </w:t>
      </w:r>
      <w:r w:rsidR="0027268D" w:rsidRPr="0027268D">
        <w:rPr>
          <w:b/>
          <w:lang w:val="en-US"/>
        </w:rPr>
        <w:t>net fee and commission income</w:t>
      </w:r>
      <w:r w:rsidR="0027268D" w:rsidRPr="0027268D">
        <w:rPr>
          <w:lang w:val="en-US"/>
        </w:rPr>
        <w:t xml:space="preserve"> which is shared by 57% of the Luxembourg banks is chiefly due to asset management activities on behalf of private and institutional clients.</w:t>
      </w:r>
      <w:r w:rsidR="00E20EA4" w:rsidRPr="0027268D">
        <w:rPr>
          <w:lang w:val="en-US"/>
        </w:rPr>
        <w:t xml:space="preserve"> </w:t>
      </w:r>
      <w:r w:rsidR="0027268D" w:rsidRPr="0027268D">
        <w:rPr>
          <w:lang w:val="en-US"/>
        </w:rPr>
        <w:t>However, this item also improved for conventional banking intermediation activities.</w:t>
      </w:r>
    </w:p>
    <w:p w:rsidR="00E20EA4" w:rsidRPr="0019424D" w:rsidRDefault="0027268D" w:rsidP="00E20EA4">
      <w:pPr>
        <w:rPr>
          <w:lang w:val="en-US"/>
        </w:rPr>
      </w:pPr>
      <w:r w:rsidRPr="0027268D">
        <w:rPr>
          <w:b/>
          <w:lang w:val="en-US"/>
        </w:rPr>
        <w:t>General expenses</w:t>
      </w:r>
      <w:r w:rsidRPr="0027268D">
        <w:rPr>
          <w:lang w:val="en-US"/>
        </w:rPr>
        <w:t xml:space="preserve"> rose by 4.0% over a year.</w:t>
      </w:r>
      <w:r w:rsidR="00E20EA4" w:rsidRPr="0027268D">
        <w:rPr>
          <w:lang w:val="en-US"/>
        </w:rPr>
        <w:t xml:space="preserve"> </w:t>
      </w:r>
      <w:r w:rsidRPr="0027268D">
        <w:rPr>
          <w:lang w:val="en-US"/>
        </w:rPr>
        <w:t>This growth is mainly linked to other general expenses (+6.5%).</w:t>
      </w:r>
      <w:r w:rsidR="00E20EA4" w:rsidRPr="0027268D">
        <w:rPr>
          <w:lang w:val="en-US"/>
        </w:rPr>
        <w:t xml:space="preserve"> </w:t>
      </w:r>
      <w:r w:rsidR="0019424D" w:rsidRPr="0019424D">
        <w:rPr>
          <w:lang w:val="en-US"/>
        </w:rPr>
        <w:t>This increase in other general expenses concerns most of the banks of the financial centre and reflects the investments in new technical infrastructures, charges due to extraordinary events as well as costs to be borne by banks in order to comply with significant new accounting standards and regulations which will enter into force in the next months.</w:t>
      </w:r>
    </w:p>
    <w:p w:rsidR="00E20EA4" w:rsidRPr="0019424D" w:rsidRDefault="0019424D" w:rsidP="00E20EA4">
      <w:pPr>
        <w:rPr>
          <w:lang w:val="en-US"/>
        </w:rPr>
      </w:pPr>
      <w:r w:rsidRPr="0019424D">
        <w:rPr>
          <w:lang w:val="en-US"/>
        </w:rPr>
        <w:t>As a result of the above-mentioned developments, profit before provisions decreased by 1.3% year-on-year.</w:t>
      </w:r>
    </w:p>
    <w:p w:rsidR="00E20EA4" w:rsidRPr="0019424D" w:rsidRDefault="0019424D" w:rsidP="00E20EA4">
      <w:pPr>
        <w:rPr>
          <w:b/>
          <w:color w:val="1F4E79" w:themeColor="accent1" w:themeShade="80"/>
          <w:lang w:val="en-US"/>
        </w:rPr>
      </w:pPr>
      <w:r w:rsidRPr="0019424D">
        <w:rPr>
          <w:b/>
          <w:color w:val="1F4E79" w:themeColor="accent1" w:themeShade="80"/>
          <w:lang w:val="en-US"/>
        </w:rPr>
        <w:t>Profit and loss account as at 30 J</w:t>
      </w:r>
      <w:r w:rsidR="00E20EA4" w:rsidRPr="0019424D">
        <w:rPr>
          <w:b/>
          <w:color w:val="1F4E79" w:themeColor="accent1" w:themeShade="80"/>
          <w:lang w:val="en-US"/>
        </w:rPr>
        <w:t>un</w:t>
      </w:r>
      <w:r w:rsidRPr="0019424D">
        <w:rPr>
          <w:b/>
          <w:color w:val="1F4E79" w:themeColor="accent1" w:themeShade="80"/>
          <w:lang w:val="en-US"/>
        </w:rPr>
        <w:t>e</w:t>
      </w:r>
      <w:r w:rsidR="00E20EA4" w:rsidRPr="0019424D">
        <w:rPr>
          <w:b/>
          <w:color w:val="1F4E79" w:themeColor="accent1" w:themeShade="80"/>
          <w:lang w:val="en-US"/>
        </w:rPr>
        <w:t xml:space="preserve"> 2017</w:t>
      </w:r>
    </w:p>
    <w:tbl>
      <w:tblPr>
        <w:tblStyle w:val="PlainTable2"/>
        <w:tblW w:w="7938" w:type="dxa"/>
        <w:tblLook w:val="04A0" w:firstRow="1" w:lastRow="0" w:firstColumn="1" w:lastColumn="0" w:noHBand="0" w:noVBand="1"/>
      </w:tblPr>
      <w:tblGrid>
        <w:gridCol w:w="3119"/>
        <w:gridCol w:w="1842"/>
        <w:gridCol w:w="1560"/>
        <w:gridCol w:w="1417"/>
      </w:tblGrid>
      <w:tr w:rsidR="00A0518B" w:rsidRPr="00A0518B" w:rsidTr="00A05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A0518B" w:rsidRPr="00A0518B" w:rsidRDefault="0019424D" w:rsidP="0019424D">
            <w:pPr>
              <w:spacing w:before="60" w:after="60"/>
              <w:ind w:right="34"/>
              <w:jc w:val="left"/>
              <w:rPr>
                <w:b w:val="0"/>
                <w:color w:val="1F4E79" w:themeColor="accent1" w:themeShade="80"/>
              </w:rPr>
            </w:pPr>
            <w:r>
              <w:rPr>
                <w:color w:val="1F4E79" w:themeColor="accent1" w:themeShade="80"/>
              </w:rPr>
              <w:t>Items in</w:t>
            </w:r>
            <w:r w:rsidR="00A0518B" w:rsidRPr="00A0518B">
              <w:rPr>
                <w:color w:val="1F4E79" w:themeColor="accent1" w:themeShade="80"/>
              </w:rPr>
              <w:t xml:space="preserve"> million EUR</w:t>
            </w:r>
          </w:p>
        </w:tc>
        <w:tc>
          <w:tcPr>
            <w:tcW w:w="1842" w:type="dxa"/>
          </w:tcPr>
          <w:p w:rsidR="00A0518B" w:rsidRPr="00A0518B" w:rsidRDefault="00A0518B" w:rsidP="00A0518B">
            <w:pPr>
              <w:spacing w:before="60" w:after="60"/>
              <w:ind w:right="304"/>
              <w:jc w:val="right"/>
              <w:cnfStyle w:val="100000000000" w:firstRow="1" w:lastRow="0" w:firstColumn="0" w:lastColumn="0" w:oddVBand="0" w:evenVBand="0" w:oddHBand="0" w:evenHBand="0" w:firstRowFirstColumn="0" w:firstRowLastColumn="0" w:lastRowFirstColumn="0" w:lastRowLastColumn="0"/>
              <w:rPr>
                <w:b w:val="0"/>
                <w:color w:val="1F4E79" w:themeColor="accent1" w:themeShade="80"/>
              </w:rPr>
            </w:pPr>
            <w:r w:rsidRPr="00A0518B">
              <w:rPr>
                <w:color w:val="1F4E79" w:themeColor="accent1" w:themeShade="80"/>
              </w:rPr>
              <w:t>J</w:t>
            </w:r>
            <w:r w:rsidR="0019424D">
              <w:rPr>
                <w:color w:val="1F4E79" w:themeColor="accent1" w:themeShade="80"/>
              </w:rPr>
              <w:t>u</w:t>
            </w:r>
            <w:r w:rsidRPr="00A0518B">
              <w:rPr>
                <w:color w:val="1F4E79" w:themeColor="accent1" w:themeShade="80"/>
              </w:rPr>
              <w:t>n</w:t>
            </w:r>
            <w:r w:rsidR="0019424D">
              <w:rPr>
                <w:color w:val="1F4E79" w:themeColor="accent1" w:themeShade="80"/>
              </w:rPr>
              <w:t>e</w:t>
            </w:r>
            <w:r w:rsidRPr="00A0518B">
              <w:rPr>
                <w:color w:val="1F4E79" w:themeColor="accent1" w:themeShade="80"/>
              </w:rPr>
              <w:t xml:space="preserve"> 2016</w:t>
            </w:r>
          </w:p>
        </w:tc>
        <w:tc>
          <w:tcPr>
            <w:tcW w:w="1560" w:type="dxa"/>
          </w:tcPr>
          <w:p w:rsidR="00A0518B" w:rsidRPr="00A0518B" w:rsidRDefault="00A0518B" w:rsidP="0019424D">
            <w:pPr>
              <w:spacing w:before="60" w:after="60"/>
              <w:ind w:right="304"/>
              <w:jc w:val="right"/>
              <w:cnfStyle w:val="100000000000" w:firstRow="1" w:lastRow="0" w:firstColumn="0" w:lastColumn="0" w:oddVBand="0" w:evenVBand="0" w:oddHBand="0" w:evenHBand="0" w:firstRowFirstColumn="0" w:firstRowLastColumn="0" w:lastRowFirstColumn="0" w:lastRowLastColumn="0"/>
              <w:rPr>
                <w:b w:val="0"/>
                <w:color w:val="1F4E79" w:themeColor="accent1" w:themeShade="80"/>
              </w:rPr>
            </w:pPr>
            <w:r w:rsidRPr="00A0518B">
              <w:rPr>
                <w:color w:val="1F4E79" w:themeColor="accent1" w:themeShade="80"/>
              </w:rPr>
              <w:t>Jun</w:t>
            </w:r>
            <w:r w:rsidR="0019424D">
              <w:rPr>
                <w:color w:val="1F4E79" w:themeColor="accent1" w:themeShade="80"/>
              </w:rPr>
              <w:t>e</w:t>
            </w:r>
            <w:r w:rsidRPr="00A0518B">
              <w:rPr>
                <w:color w:val="1F4E79" w:themeColor="accent1" w:themeShade="80"/>
              </w:rPr>
              <w:t xml:space="preserve"> 2017</w:t>
            </w:r>
          </w:p>
        </w:tc>
        <w:tc>
          <w:tcPr>
            <w:tcW w:w="1417" w:type="dxa"/>
          </w:tcPr>
          <w:p w:rsidR="00A0518B" w:rsidRPr="00A0518B" w:rsidRDefault="00A0518B" w:rsidP="00A0518B">
            <w:pPr>
              <w:spacing w:before="60" w:after="60"/>
              <w:ind w:right="304"/>
              <w:jc w:val="right"/>
              <w:cnfStyle w:val="100000000000" w:firstRow="1" w:lastRow="0" w:firstColumn="0" w:lastColumn="0" w:oddVBand="0" w:evenVBand="0" w:oddHBand="0" w:evenHBand="0" w:firstRowFirstColumn="0" w:firstRowLastColumn="0" w:lastRowFirstColumn="0" w:lastRowLastColumn="0"/>
              <w:rPr>
                <w:b w:val="0"/>
                <w:color w:val="1F4E79" w:themeColor="accent1" w:themeShade="80"/>
              </w:rPr>
            </w:pPr>
            <w:r w:rsidRPr="00A0518B">
              <w:rPr>
                <w:color w:val="1F4E79" w:themeColor="accent1" w:themeShade="80"/>
              </w:rPr>
              <w:t>%</w:t>
            </w:r>
          </w:p>
        </w:tc>
      </w:tr>
      <w:tr w:rsidR="00A0518B" w:rsidTr="00A05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A0518B" w:rsidRPr="00A0518B" w:rsidRDefault="0019424D" w:rsidP="00A0518B">
            <w:pPr>
              <w:spacing w:before="60" w:after="60"/>
              <w:rPr>
                <w:b w:val="0"/>
                <w:color w:val="1F4E79" w:themeColor="accent1" w:themeShade="80"/>
              </w:rPr>
            </w:pPr>
            <w:r>
              <w:rPr>
                <w:b w:val="0"/>
              </w:rPr>
              <w:t>Net interest income</w:t>
            </w:r>
          </w:p>
        </w:tc>
        <w:tc>
          <w:tcPr>
            <w:tcW w:w="1842" w:type="dxa"/>
          </w:tcPr>
          <w:p w:rsidR="00A0518B" w:rsidRDefault="00A0518B" w:rsidP="0019424D">
            <w:pPr>
              <w:spacing w:before="60" w:after="60"/>
              <w:ind w:right="458"/>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2</w:t>
            </w:r>
            <w:r w:rsidR="0019424D">
              <w:t>,</w:t>
            </w:r>
            <w:r>
              <w:t>385</w:t>
            </w:r>
          </w:p>
        </w:tc>
        <w:tc>
          <w:tcPr>
            <w:tcW w:w="1560" w:type="dxa"/>
          </w:tcPr>
          <w:p w:rsidR="00A0518B" w:rsidRDefault="00A0518B" w:rsidP="00A0518B">
            <w:pPr>
              <w:spacing w:before="60" w:after="60"/>
              <w:ind w:right="459"/>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2</w:t>
            </w:r>
            <w:r w:rsidR="0019424D">
              <w:t>,</w:t>
            </w:r>
            <w:r>
              <w:t>517</w:t>
            </w:r>
          </w:p>
        </w:tc>
        <w:tc>
          <w:tcPr>
            <w:tcW w:w="1417" w:type="dxa"/>
          </w:tcPr>
          <w:p w:rsidR="00A0518B" w:rsidRDefault="00A0518B" w:rsidP="0019424D">
            <w:pPr>
              <w:spacing w:before="60" w:after="60"/>
              <w:ind w:right="276"/>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5</w:t>
            </w:r>
            <w:r w:rsidR="0019424D">
              <w:t>.</w:t>
            </w:r>
            <w:r>
              <w:t>5%</w:t>
            </w:r>
          </w:p>
        </w:tc>
      </w:tr>
      <w:tr w:rsidR="00A0518B" w:rsidTr="00A0518B">
        <w:tc>
          <w:tcPr>
            <w:cnfStyle w:val="001000000000" w:firstRow="0" w:lastRow="0" w:firstColumn="1" w:lastColumn="0" w:oddVBand="0" w:evenVBand="0" w:oddHBand="0" w:evenHBand="0" w:firstRowFirstColumn="0" w:firstRowLastColumn="0" w:lastRowFirstColumn="0" w:lastRowLastColumn="0"/>
            <w:tcW w:w="3119" w:type="dxa"/>
          </w:tcPr>
          <w:p w:rsidR="00A0518B" w:rsidRPr="0019424D" w:rsidRDefault="0019424D" w:rsidP="00A0518B">
            <w:pPr>
              <w:spacing w:before="60" w:after="60"/>
              <w:rPr>
                <w:b w:val="0"/>
                <w:color w:val="1F4E79" w:themeColor="accent1" w:themeShade="80"/>
                <w:lang w:val="en-US"/>
              </w:rPr>
            </w:pPr>
            <w:r w:rsidRPr="0019424D">
              <w:rPr>
                <w:b w:val="0"/>
                <w:lang w:val="en-US"/>
              </w:rPr>
              <w:t>Net fee and commission income</w:t>
            </w:r>
          </w:p>
        </w:tc>
        <w:tc>
          <w:tcPr>
            <w:tcW w:w="1842" w:type="dxa"/>
          </w:tcPr>
          <w:p w:rsidR="00A0518B" w:rsidRDefault="0019424D" w:rsidP="00A0518B">
            <w:pPr>
              <w:spacing w:before="60" w:after="60"/>
              <w:ind w:right="458"/>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2,</w:t>
            </w:r>
            <w:r w:rsidR="00A0518B">
              <w:t>234</w:t>
            </w:r>
          </w:p>
        </w:tc>
        <w:tc>
          <w:tcPr>
            <w:tcW w:w="1560" w:type="dxa"/>
          </w:tcPr>
          <w:p w:rsidR="00A0518B" w:rsidRDefault="0019424D" w:rsidP="00A0518B">
            <w:pPr>
              <w:spacing w:before="60" w:after="60"/>
              <w:ind w:right="459"/>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2,</w:t>
            </w:r>
            <w:r w:rsidR="00A0518B">
              <w:t>365</w:t>
            </w:r>
          </w:p>
        </w:tc>
        <w:tc>
          <w:tcPr>
            <w:tcW w:w="1417" w:type="dxa"/>
          </w:tcPr>
          <w:p w:rsidR="00A0518B" w:rsidRDefault="0019424D" w:rsidP="00A0518B">
            <w:pPr>
              <w:spacing w:before="60" w:after="60"/>
              <w:ind w:right="276"/>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5.</w:t>
            </w:r>
            <w:r w:rsidR="00A0518B">
              <w:t>9%</w:t>
            </w:r>
          </w:p>
        </w:tc>
      </w:tr>
      <w:tr w:rsidR="00A0518B" w:rsidTr="00A05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A0518B" w:rsidRPr="00A0518B" w:rsidRDefault="0019424D" w:rsidP="00A0518B">
            <w:pPr>
              <w:spacing w:before="60" w:after="60"/>
              <w:rPr>
                <w:b w:val="0"/>
                <w:color w:val="1F4E79" w:themeColor="accent1" w:themeShade="80"/>
              </w:rPr>
            </w:pPr>
            <w:r>
              <w:rPr>
                <w:b w:val="0"/>
              </w:rPr>
              <w:t>Other net income</w:t>
            </w:r>
            <w:r w:rsidR="00A0518B">
              <w:rPr>
                <w:rStyle w:val="FootnoteReference"/>
                <w:b w:val="0"/>
              </w:rPr>
              <w:footnoteReference w:id="2"/>
            </w:r>
          </w:p>
        </w:tc>
        <w:tc>
          <w:tcPr>
            <w:tcW w:w="1842" w:type="dxa"/>
          </w:tcPr>
          <w:p w:rsidR="00A0518B" w:rsidRDefault="0019424D" w:rsidP="00A0518B">
            <w:pPr>
              <w:spacing w:before="60" w:after="60"/>
              <w:ind w:right="458"/>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1,</w:t>
            </w:r>
            <w:r w:rsidR="00A0518B">
              <w:t>391</w:t>
            </w:r>
          </w:p>
        </w:tc>
        <w:tc>
          <w:tcPr>
            <w:tcW w:w="1560" w:type="dxa"/>
          </w:tcPr>
          <w:p w:rsidR="00A0518B" w:rsidRDefault="0019424D" w:rsidP="00A0518B">
            <w:pPr>
              <w:spacing w:before="60" w:after="60"/>
              <w:ind w:right="459"/>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1,</w:t>
            </w:r>
            <w:r w:rsidR="00A0518B">
              <w:t>206</w:t>
            </w:r>
          </w:p>
        </w:tc>
        <w:tc>
          <w:tcPr>
            <w:tcW w:w="1417" w:type="dxa"/>
          </w:tcPr>
          <w:p w:rsidR="00A0518B" w:rsidRDefault="0019424D" w:rsidP="00A0518B">
            <w:pPr>
              <w:spacing w:before="60" w:after="60"/>
              <w:ind w:right="276"/>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-13.</w:t>
            </w:r>
            <w:r w:rsidR="00A0518B">
              <w:t>3%</w:t>
            </w:r>
          </w:p>
        </w:tc>
      </w:tr>
      <w:tr w:rsidR="00A0518B" w:rsidTr="00A0518B">
        <w:tc>
          <w:tcPr>
            <w:cnfStyle w:val="001000000000" w:firstRow="0" w:lastRow="0" w:firstColumn="1" w:lastColumn="0" w:oddVBand="0" w:evenVBand="0" w:oddHBand="0" w:evenHBand="0" w:firstRowFirstColumn="0" w:firstRowLastColumn="0" w:lastRowFirstColumn="0" w:lastRowLastColumn="0"/>
            <w:tcW w:w="3119" w:type="dxa"/>
          </w:tcPr>
          <w:p w:rsidR="00A0518B" w:rsidRPr="00A0518B" w:rsidRDefault="0019424D" w:rsidP="00A0518B">
            <w:pPr>
              <w:spacing w:before="60" w:after="60"/>
              <w:rPr>
                <w:b w:val="0"/>
                <w:color w:val="1F4E79" w:themeColor="accent1" w:themeShade="80"/>
              </w:rPr>
            </w:pPr>
            <w:r>
              <w:rPr>
                <w:b w:val="0"/>
              </w:rPr>
              <w:t>Banking income</w:t>
            </w:r>
          </w:p>
        </w:tc>
        <w:tc>
          <w:tcPr>
            <w:tcW w:w="1842" w:type="dxa"/>
          </w:tcPr>
          <w:p w:rsidR="00A0518B" w:rsidRDefault="0019424D" w:rsidP="00A0518B">
            <w:pPr>
              <w:spacing w:before="60" w:after="60"/>
              <w:ind w:right="458"/>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6,</w:t>
            </w:r>
            <w:r w:rsidR="00A0518B">
              <w:t>010</w:t>
            </w:r>
          </w:p>
        </w:tc>
        <w:tc>
          <w:tcPr>
            <w:tcW w:w="1560" w:type="dxa"/>
          </w:tcPr>
          <w:p w:rsidR="00A0518B" w:rsidRDefault="0019424D" w:rsidP="00A0518B">
            <w:pPr>
              <w:spacing w:before="60" w:after="60"/>
              <w:ind w:right="459"/>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6,</w:t>
            </w:r>
            <w:r w:rsidR="00A0518B">
              <w:t>088</w:t>
            </w:r>
          </w:p>
        </w:tc>
        <w:tc>
          <w:tcPr>
            <w:tcW w:w="1417" w:type="dxa"/>
          </w:tcPr>
          <w:p w:rsidR="00A0518B" w:rsidRDefault="0019424D" w:rsidP="00A0518B">
            <w:pPr>
              <w:spacing w:before="60" w:after="60"/>
              <w:ind w:right="276"/>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1.</w:t>
            </w:r>
            <w:r w:rsidR="00A0518B">
              <w:t>3%</w:t>
            </w:r>
          </w:p>
        </w:tc>
      </w:tr>
      <w:tr w:rsidR="00A0518B" w:rsidTr="00A05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A0518B" w:rsidRPr="00A0518B" w:rsidRDefault="0019424D" w:rsidP="00A0518B">
            <w:pPr>
              <w:spacing w:before="60" w:after="60"/>
              <w:rPr>
                <w:b w:val="0"/>
                <w:color w:val="1F4E79" w:themeColor="accent1" w:themeShade="80"/>
              </w:rPr>
            </w:pPr>
            <w:r>
              <w:rPr>
                <w:b w:val="0"/>
              </w:rPr>
              <w:t>Staff costs</w:t>
            </w:r>
          </w:p>
        </w:tc>
        <w:tc>
          <w:tcPr>
            <w:tcW w:w="1842" w:type="dxa"/>
          </w:tcPr>
          <w:p w:rsidR="00A0518B" w:rsidRDefault="0019424D" w:rsidP="00A0518B">
            <w:pPr>
              <w:spacing w:before="60" w:after="60"/>
              <w:ind w:right="458"/>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1,</w:t>
            </w:r>
            <w:r w:rsidR="00A0518B">
              <w:t>513</w:t>
            </w:r>
          </w:p>
        </w:tc>
        <w:tc>
          <w:tcPr>
            <w:tcW w:w="1560" w:type="dxa"/>
          </w:tcPr>
          <w:p w:rsidR="00A0518B" w:rsidRDefault="0019424D" w:rsidP="00A0518B">
            <w:pPr>
              <w:spacing w:before="60" w:after="60"/>
              <w:ind w:right="459"/>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1,</w:t>
            </w:r>
            <w:r w:rsidR="00A0518B">
              <w:t>537</w:t>
            </w:r>
          </w:p>
        </w:tc>
        <w:tc>
          <w:tcPr>
            <w:tcW w:w="1417" w:type="dxa"/>
          </w:tcPr>
          <w:p w:rsidR="00A0518B" w:rsidRDefault="0019424D" w:rsidP="00A0518B">
            <w:pPr>
              <w:spacing w:before="60" w:after="60"/>
              <w:ind w:right="276"/>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1.</w:t>
            </w:r>
            <w:r w:rsidR="00A0518B">
              <w:t>6%</w:t>
            </w:r>
          </w:p>
        </w:tc>
      </w:tr>
      <w:tr w:rsidR="00A0518B" w:rsidTr="00A0518B">
        <w:tc>
          <w:tcPr>
            <w:cnfStyle w:val="001000000000" w:firstRow="0" w:lastRow="0" w:firstColumn="1" w:lastColumn="0" w:oddVBand="0" w:evenVBand="0" w:oddHBand="0" w:evenHBand="0" w:firstRowFirstColumn="0" w:firstRowLastColumn="0" w:lastRowFirstColumn="0" w:lastRowLastColumn="0"/>
            <w:tcW w:w="3119" w:type="dxa"/>
          </w:tcPr>
          <w:p w:rsidR="00A0518B" w:rsidRPr="00A0518B" w:rsidRDefault="0019424D" w:rsidP="00A0518B">
            <w:pPr>
              <w:spacing w:before="60" w:after="60"/>
              <w:rPr>
                <w:b w:val="0"/>
                <w:color w:val="1F4E79" w:themeColor="accent1" w:themeShade="80"/>
              </w:rPr>
            </w:pPr>
            <w:r>
              <w:rPr>
                <w:b w:val="0"/>
              </w:rPr>
              <w:t>Other general expenses</w:t>
            </w:r>
          </w:p>
        </w:tc>
        <w:tc>
          <w:tcPr>
            <w:tcW w:w="1842" w:type="dxa"/>
          </w:tcPr>
          <w:p w:rsidR="00A0518B" w:rsidRDefault="0019424D" w:rsidP="00A0518B">
            <w:pPr>
              <w:spacing w:before="60" w:after="60"/>
              <w:ind w:right="458"/>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1,</w:t>
            </w:r>
            <w:r w:rsidR="00A0518B">
              <w:t>430</w:t>
            </w:r>
          </w:p>
        </w:tc>
        <w:tc>
          <w:tcPr>
            <w:tcW w:w="1560" w:type="dxa"/>
          </w:tcPr>
          <w:p w:rsidR="00A0518B" w:rsidRDefault="0019424D" w:rsidP="00A0518B">
            <w:pPr>
              <w:spacing w:before="60" w:after="60"/>
              <w:ind w:right="459"/>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1,</w:t>
            </w:r>
            <w:r w:rsidR="00A0518B">
              <w:t>523</w:t>
            </w:r>
          </w:p>
        </w:tc>
        <w:tc>
          <w:tcPr>
            <w:tcW w:w="1417" w:type="dxa"/>
          </w:tcPr>
          <w:p w:rsidR="00A0518B" w:rsidRDefault="0019424D" w:rsidP="00A0518B">
            <w:pPr>
              <w:spacing w:before="60" w:after="60"/>
              <w:ind w:right="276"/>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t>6.</w:t>
            </w:r>
            <w:r w:rsidR="00A0518B">
              <w:t>5%</w:t>
            </w:r>
          </w:p>
        </w:tc>
      </w:tr>
      <w:tr w:rsidR="00A0518B" w:rsidTr="00A05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A0518B" w:rsidRPr="00A0518B" w:rsidRDefault="0019424D" w:rsidP="00A0518B">
            <w:pPr>
              <w:spacing w:before="60" w:after="60"/>
              <w:rPr>
                <w:b w:val="0"/>
                <w:color w:val="1F4E79" w:themeColor="accent1" w:themeShade="80"/>
              </w:rPr>
            </w:pPr>
            <w:r>
              <w:rPr>
                <w:b w:val="0"/>
              </w:rPr>
              <w:t>General expenses</w:t>
            </w:r>
          </w:p>
        </w:tc>
        <w:tc>
          <w:tcPr>
            <w:tcW w:w="1842" w:type="dxa"/>
          </w:tcPr>
          <w:p w:rsidR="00A0518B" w:rsidRPr="0019424D" w:rsidRDefault="0019424D" w:rsidP="0019424D">
            <w:pPr>
              <w:spacing w:before="60" w:after="60"/>
              <w:ind w:right="458"/>
              <w:jc w:val="right"/>
              <w:cnfStyle w:val="000000100000" w:firstRow="0" w:lastRow="0" w:firstColumn="0" w:lastColumn="0" w:oddVBand="0" w:evenVBand="0" w:oddHBand="1" w:evenHBand="0" w:firstRowFirstColumn="0" w:firstRowLastColumn="0" w:lastRowFirstColumn="0" w:lastRowLastColumn="0"/>
            </w:pPr>
            <w:r>
              <w:t>2,</w:t>
            </w:r>
            <w:r w:rsidR="00A0518B">
              <w:t>943</w:t>
            </w:r>
          </w:p>
        </w:tc>
        <w:tc>
          <w:tcPr>
            <w:tcW w:w="1560" w:type="dxa"/>
          </w:tcPr>
          <w:p w:rsidR="00A0518B" w:rsidRDefault="0019424D" w:rsidP="00A0518B">
            <w:pPr>
              <w:spacing w:before="60" w:after="60"/>
              <w:ind w:right="459"/>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3,</w:t>
            </w:r>
            <w:r w:rsidR="00A0518B">
              <w:t>060</w:t>
            </w:r>
          </w:p>
        </w:tc>
        <w:tc>
          <w:tcPr>
            <w:tcW w:w="1417" w:type="dxa"/>
          </w:tcPr>
          <w:p w:rsidR="00A0518B" w:rsidRDefault="0019424D" w:rsidP="00A0518B">
            <w:pPr>
              <w:spacing w:before="60" w:after="60"/>
              <w:ind w:right="276"/>
              <w:jc w:val="right"/>
              <w:cnfStyle w:val="000000100000" w:firstRow="0" w:lastRow="0" w:firstColumn="0" w:lastColumn="0" w:oddVBand="0" w:evenVBand="0" w:oddHBand="1" w:evenHBand="0" w:firstRowFirstColumn="0" w:firstRowLastColumn="0" w:lastRowFirstColumn="0" w:lastRowLastColumn="0"/>
              <w:rPr>
                <w:b/>
                <w:color w:val="1F4E79" w:themeColor="accent1" w:themeShade="80"/>
              </w:rPr>
            </w:pPr>
            <w:r>
              <w:t>4.</w:t>
            </w:r>
            <w:r w:rsidR="00A0518B">
              <w:t>0%</w:t>
            </w:r>
          </w:p>
        </w:tc>
      </w:tr>
      <w:tr w:rsidR="00A0518B" w:rsidRPr="00A0518B" w:rsidTr="00A0518B">
        <w:tc>
          <w:tcPr>
            <w:cnfStyle w:val="001000000000" w:firstRow="0" w:lastRow="0" w:firstColumn="1" w:lastColumn="0" w:oddVBand="0" w:evenVBand="0" w:oddHBand="0" w:evenHBand="0" w:firstRowFirstColumn="0" w:firstRowLastColumn="0" w:lastRowFirstColumn="0" w:lastRowLastColumn="0"/>
            <w:tcW w:w="3119" w:type="dxa"/>
          </w:tcPr>
          <w:p w:rsidR="00A0518B" w:rsidRPr="00A0518B" w:rsidRDefault="0019424D" w:rsidP="00A0518B">
            <w:pPr>
              <w:spacing w:before="60" w:after="60"/>
              <w:rPr>
                <w:color w:val="1F4E79" w:themeColor="accent1" w:themeShade="80"/>
              </w:rPr>
            </w:pPr>
            <w:r>
              <w:rPr>
                <w:color w:val="1F4E79" w:themeColor="accent1" w:themeShade="80"/>
              </w:rPr>
              <w:t>Profit before</w:t>
            </w:r>
            <w:r w:rsidR="00A0518B" w:rsidRPr="00A0518B">
              <w:rPr>
                <w:color w:val="1F4E79" w:themeColor="accent1" w:themeShade="80"/>
              </w:rPr>
              <w:t xml:space="preserve"> provisions</w:t>
            </w:r>
          </w:p>
        </w:tc>
        <w:tc>
          <w:tcPr>
            <w:tcW w:w="1842" w:type="dxa"/>
          </w:tcPr>
          <w:p w:rsidR="00A0518B" w:rsidRPr="00A0518B" w:rsidRDefault="0019424D" w:rsidP="00A0518B">
            <w:pPr>
              <w:spacing w:before="60" w:after="60"/>
              <w:ind w:right="458"/>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rPr>
                <w:b/>
                <w:color w:val="1F4E79" w:themeColor="accent1" w:themeShade="80"/>
              </w:rPr>
              <w:t>3,</w:t>
            </w:r>
            <w:r w:rsidR="00A0518B" w:rsidRPr="00A0518B">
              <w:rPr>
                <w:b/>
                <w:color w:val="1F4E79" w:themeColor="accent1" w:themeShade="80"/>
              </w:rPr>
              <w:t>067</w:t>
            </w:r>
          </w:p>
        </w:tc>
        <w:tc>
          <w:tcPr>
            <w:tcW w:w="1560" w:type="dxa"/>
          </w:tcPr>
          <w:p w:rsidR="00A0518B" w:rsidRPr="00A0518B" w:rsidRDefault="0019424D" w:rsidP="00A0518B">
            <w:pPr>
              <w:spacing w:before="60" w:after="60"/>
              <w:ind w:right="459"/>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rPr>
                <w:b/>
                <w:color w:val="1F4E79" w:themeColor="accent1" w:themeShade="80"/>
              </w:rPr>
              <w:t>3,</w:t>
            </w:r>
            <w:r w:rsidR="00A0518B" w:rsidRPr="00A0518B">
              <w:rPr>
                <w:b/>
                <w:color w:val="1F4E79" w:themeColor="accent1" w:themeShade="80"/>
              </w:rPr>
              <w:t>028</w:t>
            </w:r>
          </w:p>
        </w:tc>
        <w:tc>
          <w:tcPr>
            <w:tcW w:w="1417" w:type="dxa"/>
          </w:tcPr>
          <w:p w:rsidR="00A0518B" w:rsidRPr="00A0518B" w:rsidRDefault="0019424D" w:rsidP="00A0518B">
            <w:pPr>
              <w:spacing w:before="60" w:after="60"/>
              <w:ind w:right="276"/>
              <w:jc w:val="right"/>
              <w:cnfStyle w:val="000000000000" w:firstRow="0" w:lastRow="0" w:firstColumn="0" w:lastColumn="0" w:oddVBand="0" w:evenVBand="0" w:oddHBand="0" w:evenHBand="0" w:firstRowFirstColumn="0" w:firstRowLastColumn="0" w:lastRowFirstColumn="0" w:lastRowLastColumn="0"/>
              <w:rPr>
                <w:b/>
                <w:color w:val="1F4E79" w:themeColor="accent1" w:themeShade="80"/>
              </w:rPr>
            </w:pPr>
            <w:r>
              <w:rPr>
                <w:b/>
                <w:color w:val="1F4E79" w:themeColor="accent1" w:themeShade="80"/>
              </w:rPr>
              <w:t>-1.</w:t>
            </w:r>
            <w:r w:rsidR="00A0518B" w:rsidRPr="00A0518B">
              <w:rPr>
                <w:b/>
                <w:color w:val="1F4E79" w:themeColor="accent1" w:themeShade="80"/>
              </w:rPr>
              <w:t>3%</w:t>
            </w:r>
          </w:p>
        </w:tc>
      </w:tr>
    </w:tbl>
    <w:p w:rsidR="00987597" w:rsidRDefault="00987597" w:rsidP="000F3F2E"/>
    <w:p w:rsidR="00A0518B" w:rsidRPr="00712DD6" w:rsidRDefault="00712DD6" w:rsidP="0051662F">
      <w:pPr>
        <w:pStyle w:val="Heading2"/>
        <w:rPr>
          <w:lang w:val="en-US"/>
        </w:rPr>
      </w:pPr>
      <w:r w:rsidRPr="00712DD6">
        <w:rPr>
          <w:lang w:val="en-US"/>
        </w:rPr>
        <w:lastRenderedPageBreak/>
        <w:t>Global situation of undertakings for collective investment at the end of August 2017</w:t>
      </w:r>
    </w:p>
    <w:p w:rsidR="0051662F" w:rsidRPr="00712DD6" w:rsidRDefault="00712DD6" w:rsidP="0051662F">
      <w:pPr>
        <w:pStyle w:val="Heading3"/>
        <w:rPr>
          <w:lang w:val="en-US"/>
        </w:rPr>
      </w:pPr>
      <w:r w:rsidRPr="00712DD6">
        <w:rPr>
          <w:lang w:val="en-US"/>
        </w:rPr>
        <w:t>Press release 17/34 of</w:t>
      </w:r>
      <w:r w:rsidR="0051662F" w:rsidRPr="00712DD6">
        <w:rPr>
          <w:lang w:val="en-US"/>
        </w:rPr>
        <w:t xml:space="preserve"> 6 </w:t>
      </w:r>
      <w:r w:rsidRPr="00712DD6">
        <w:rPr>
          <w:lang w:val="en-US"/>
        </w:rPr>
        <w:t>October</w:t>
      </w:r>
      <w:r w:rsidR="0051662F" w:rsidRPr="00712DD6">
        <w:rPr>
          <w:lang w:val="en-US"/>
        </w:rPr>
        <w:t xml:space="preserve"> 2017</w:t>
      </w:r>
    </w:p>
    <w:p w:rsidR="0051662F" w:rsidRPr="00712DD6" w:rsidRDefault="0051662F" w:rsidP="0051662F">
      <w:pPr>
        <w:rPr>
          <w:b/>
          <w:color w:val="1F4E79" w:themeColor="accent1" w:themeShade="80"/>
          <w:lang w:val="en-US" w:eastAsia="en-GB"/>
        </w:rPr>
      </w:pPr>
      <w:r w:rsidRPr="00712DD6">
        <w:rPr>
          <w:b/>
          <w:color w:val="1F4E79" w:themeColor="accent1" w:themeShade="80"/>
          <w:lang w:val="en-US" w:eastAsia="en-GB"/>
        </w:rPr>
        <w:t xml:space="preserve">I. </w:t>
      </w:r>
      <w:r w:rsidR="00712DD6" w:rsidRPr="00712DD6">
        <w:rPr>
          <w:b/>
          <w:color w:val="1F4E79" w:themeColor="accent1" w:themeShade="80"/>
          <w:lang w:val="en-US" w:eastAsia="en-GB"/>
        </w:rPr>
        <w:t>O</w:t>
      </w:r>
      <w:r w:rsidR="00712DD6">
        <w:rPr>
          <w:b/>
          <w:color w:val="1F4E79" w:themeColor="accent1" w:themeShade="80"/>
          <w:lang w:val="en-US" w:eastAsia="en-GB"/>
        </w:rPr>
        <w:t>verall situation</w:t>
      </w:r>
    </w:p>
    <w:p w:rsidR="0051662F" w:rsidRPr="00D82BFC" w:rsidRDefault="00D82BFC" w:rsidP="0051662F">
      <w:pPr>
        <w:rPr>
          <w:lang w:val="en-US"/>
        </w:rPr>
      </w:pPr>
      <w:r w:rsidRPr="00D82BFC">
        <w:rPr>
          <w:lang w:val="en-US"/>
        </w:rPr>
        <w:t>As at 31 August 2017, total net assets of undertakings for collective investment, including UCIs subject to the 2010 Law, specialised investment funds and SICARs</w:t>
      </w:r>
      <w:r w:rsidR="00CD45BF">
        <w:rPr>
          <w:lang w:val="en-US"/>
        </w:rPr>
        <w:t>,</w:t>
      </w:r>
      <w:r w:rsidRPr="00D82BFC">
        <w:rPr>
          <w:lang w:val="en-US"/>
        </w:rPr>
        <w:t xml:space="preserve"> amounted to EUR 3,987.328 billion compared to EUR 3,957.581 billion as at 31 July 2017, i.e. a 0.75% increase over one month.</w:t>
      </w:r>
      <w:r w:rsidR="0051662F" w:rsidRPr="00D82BFC">
        <w:rPr>
          <w:lang w:val="en-US"/>
        </w:rPr>
        <w:t xml:space="preserve"> </w:t>
      </w:r>
      <w:r w:rsidRPr="00D82BFC">
        <w:rPr>
          <w:lang w:val="en-US"/>
        </w:rPr>
        <w:t>Over the last twelve months, the volume of net assets rose by 9.55%.</w:t>
      </w:r>
    </w:p>
    <w:p w:rsidR="0051662F" w:rsidRPr="00D82BFC" w:rsidRDefault="00D82BFC" w:rsidP="0051662F">
      <w:pPr>
        <w:rPr>
          <w:lang w:val="en-US"/>
        </w:rPr>
      </w:pPr>
      <w:r w:rsidRPr="00D82BFC">
        <w:rPr>
          <w:lang w:val="en-US"/>
        </w:rPr>
        <w:t>Consequently, the Luxembourg UCI industry registered a positive variation amounting to EUR 29.747 billion in August. This increase represents the balance of positive net issues of EUR 33.298 billion (0.84%) and a negative development in financial markets amounting to EUR 3.551 billion (</w:t>
      </w:r>
      <w:r>
        <w:rPr>
          <w:lang w:val="en-US"/>
        </w:rPr>
        <w:t>-</w:t>
      </w:r>
      <w:r w:rsidRPr="00D82BFC">
        <w:rPr>
          <w:lang w:val="en-US"/>
        </w:rPr>
        <w:t>0.09%).</w:t>
      </w:r>
    </w:p>
    <w:p w:rsidR="0051662F" w:rsidRPr="00D82BFC" w:rsidRDefault="00D82BFC" w:rsidP="0051662F">
      <w:pPr>
        <w:rPr>
          <w:lang w:val="en-US"/>
        </w:rPr>
      </w:pPr>
      <w:r w:rsidRPr="00D82BFC">
        <w:rPr>
          <w:lang w:val="en-US"/>
        </w:rPr>
        <w:t>The development of undertakings for collective investment is as follows</w:t>
      </w:r>
      <w:r w:rsidR="0051662F" w:rsidRPr="00EA3316">
        <w:rPr>
          <w:vertAlign w:val="superscript"/>
        </w:rPr>
        <w:footnoteReference w:id="3"/>
      </w:r>
      <w:r w:rsidR="0051662F" w:rsidRPr="00D82BFC">
        <w:rPr>
          <w:lang w:val="en-US"/>
        </w:rPr>
        <w:t> :</w:t>
      </w:r>
    </w:p>
    <w:p w:rsidR="0051662F" w:rsidRPr="00D82BFC" w:rsidRDefault="00CD45BF" w:rsidP="0051662F">
      <w:pPr>
        <w:pStyle w:val="BlockText"/>
        <w:tabs>
          <w:tab w:val="clear" w:pos="2835"/>
          <w:tab w:val="clear" w:pos="3119"/>
          <w:tab w:val="clear" w:pos="3402"/>
          <w:tab w:val="clear" w:pos="3686"/>
          <w:tab w:val="left" w:pos="10320"/>
          <w:tab w:val="left" w:pos="10632"/>
        </w:tabs>
        <w:ind w:left="0" w:right="46"/>
        <w:rPr>
          <w:lang w:val="en-US"/>
        </w:rPr>
      </w:pPr>
      <w:r>
        <w:rPr>
          <w:noProof/>
          <w:lang w:val="fr-LU" w:eastAsia="fr-LU"/>
        </w:rPr>
        <w:drawing>
          <wp:anchor distT="0" distB="0" distL="114300" distR="114300" simplePos="0" relativeHeight="251685888" behindDoc="0" locked="0" layoutInCell="1" allowOverlap="1">
            <wp:simplePos x="0" y="0"/>
            <wp:positionH relativeFrom="column">
              <wp:posOffset>549402</wp:posOffset>
            </wp:positionH>
            <wp:positionV relativeFrom="paragraph">
              <wp:posOffset>20955</wp:posOffset>
            </wp:positionV>
            <wp:extent cx="4586400" cy="26892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6400" cy="2689200"/>
                    </a:xfrm>
                    <a:prstGeom prst="rect">
                      <a:avLst/>
                    </a:prstGeom>
                    <a:noFill/>
                  </pic:spPr>
                </pic:pic>
              </a:graphicData>
            </a:graphic>
            <wp14:sizeRelH relativeFrom="margin">
              <wp14:pctWidth>0</wp14:pctWidth>
            </wp14:sizeRelH>
            <wp14:sizeRelV relativeFrom="margin">
              <wp14:pctHeight>0</wp14:pctHeight>
            </wp14:sizeRelV>
          </wp:anchor>
        </w:drawing>
      </w: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51662F" w:rsidP="0051662F">
      <w:pPr>
        <w:pStyle w:val="BlockText"/>
        <w:tabs>
          <w:tab w:val="clear" w:pos="2835"/>
          <w:tab w:val="clear" w:pos="3119"/>
          <w:tab w:val="clear" w:pos="3402"/>
          <w:tab w:val="clear" w:pos="3686"/>
          <w:tab w:val="left" w:pos="10320"/>
          <w:tab w:val="left" w:pos="10632"/>
        </w:tabs>
        <w:ind w:left="0" w:right="46"/>
        <w:rPr>
          <w:lang w:val="en-US"/>
        </w:rPr>
      </w:pPr>
    </w:p>
    <w:p w:rsidR="0051662F" w:rsidRPr="00D82BFC" w:rsidRDefault="00D82BFC" w:rsidP="0051662F">
      <w:pPr>
        <w:rPr>
          <w:lang w:val="en-US"/>
        </w:rPr>
      </w:pPr>
      <w:r w:rsidRPr="00D82BFC">
        <w:rPr>
          <w:lang w:val="en-US"/>
        </w:rPr>
        <w:t>The number of undertakings for collective investment (UCIs) taken into consideration totals 4,118 as against 4,133 in the previous month. A total of 2,638 entities have adopted an umbrella structure, which represents 13,218 sub-funds. When adding the 1,480 entities with a traditional structure to that figure, a total of 14,698 fund units are active in the financial centre.</w:t>
      </w:r>
      <w:r w:rsidR="0051662F" w:rsidRPr="00D82BFC">
        <w:rPr>
          <w:lang w:val="en-US"/>
        </w:rPr>
        <w:t xml:space="preserve"> </w:t>
      </w:r>
    </w:p>
    <w:p w:rsidR="0051662F" w:rsidRPr="00D82BFC" w:rsidRDefault="00D82BFC" w:rsidP="0051662F">
      <w:pPr>
        <w:rPr>
          <w:lang w:val="en-US"/>
        </w:rPr>
      </w:pPr>
      <w:r w:rsidRPr="00D82BFC">
        <w:rPr>
          <w:lang w:val="en-US"/>
        </w:rPr>
        <w:t>As regards, on the one hand, the impact of financial markets on the main categories of undertakings for collective investment and, on the other hand, the net capital investment within these UCIs, the following can be said about August.</w:t>
      </w:r>
    </w:p>
    <w:p w:rsidR="0051662F" w:rsidRPr="00D82BFC" w:rsidRDefault="00D82BFC" w:rsidP="0051662F">
      <w:pPr>
        <w:rPr>
          <w:lang w:val="en-US"/>
        </w:rPr>
      </w:pPr>
      <w:r w:rsidRPr="00D82BFC">
        <w:rPr>
          <w:lang w:val="en-US"/>
        </w:rPr>
        <w:t>The categories of equity UCIs developed differently during the month under review.</w:t>
      </w:r>
      <w:r w:rsidR="0051662F" w:rsidRPr="00D82BFC">
        <w:rPr>
          <w:lang w:val="en-US"/>
        </w:rPr>
        <w:t xml:space="preserve"> </w:t>
      </w:r>
    </w:p>
    <w:p w:rsidR="0051662F" w:rsidRPr="00D82BFC" w:rsidRDefault="00D82BFC" w:rsidP="00D82BFC">
      <w:pPr>
        <w:rPr>
          <w:lang w:val="en-US"/>
        </w:rPr>
      </w:pPr>
      <w:r w:rsidRPr="00D82BFC">
        <w:rPr>
          <w:lang w:val="en-US"/>
        </w:rPr>
        <w:t>As far as developed countries are concerned, August was marked, on the one hand, by geopolitical tensions related to North Korea and, on the other hand, by good economic news in Europe, the United States and Japan.</w:t>
      </w:r>
      <w:r>
        <w:rPr>
          <w:lang w:val="en-US"/>
        </w:rPr>
        <w:t xml:space="preserve"> </w:t>
      </w:r>
      <w:r w:rsidRPr="00D82BFC">
        <w:rPr>
          <w:lang w:val="en-US"/>
        </w:rPr>
        <w:t>In the light of the above and in view of the EUR appreciation against the main currencies which weighed on the markets, the category of European equity UCIs performed negatively.</w:t>
      </w:r>
      <w:r>
        <w:rPr>
          <w:lang w:val="en-US"/>
        </w:rPr>
        <w:t xml:space="preserve"> </w:t>
      </w:r>
      <w:r w:rsidRPr="00D82BFC">
        <w:rPr>
          <w:lang w:val="en-US"/>
        </w:rPr>
        <w:t>Although the American and Japanese equity prices remained more or less stable, the depreci</w:t>
      </w:r>
      <w:r w:rsidR="00CD45BF">
        <w:rPr>
          <w:lang w:val="en-US"/>
        </w:rPr>
        <w:t>ation of USD and JPY against</w:t>
      </w:r>
      <w:r w:rsidRPr="00D82BFC">
        <w:rPr>
          <w:lang w:val="en-US"/>
        </w:rPr>
        <w:t xml:space="preserve"> EUR caused the US and Japanese equity UCI categories to end the month in negative territory.</w:t>
      </w:r>
    </w:p>
    <w:p w:rsidR="0051662F" w:rsidRPr="00D82BFC" w:rsidRDefault="00D82BFC" w:rsidP="00D82BFC">
      <w:pPr>
        <w:rPr>
          <w:lang w:val="en-US"/>
        </w:rPr>
      </w:pPr>
      <w:r w:rsidRPr="00D82BFC">
        <w:rPr>
          <w:lang w:val="en-US"/>
        </w:rPr>
        <w:lastRenderedPageBreak/>
        <w:t>As regards emerging countries, all categories of equity UCIs improved despite the geopolitical tensions in relation to North Korea.</w:t>
      </w:r>
      <w:r>
        <w:rPr>
          <w:lang w:val="en-US"/>
        </w:rPr>
        <w:t xml:space="preserve"> </w:t>
      </w:r>
      <w:r w:rsidRPr="00D82BFC">
        <w:rPr>
          <w:lang w:val="en-US"/>
        </w:rPr>
        <w:t>The Asian equity UCI category registered price increases amidst stable economic data in China and an overall favourable economic environment.</w:t>
      </w:r>
      <w:r>
        <w:rPr>
          <w:lang w:val="en-US"/>
        </w:rPr>
        <w:t xml:space="preserve"> </w:t>
      </w:r>
      <w:r w:rsidRPr="00D82BFC">
        <w:rPr>
          <w:lang w:val="en-US"/>
        </w:rPr>
        <w:t>Russia’s and Brazil’s recovery from the recession and good economic figures in several other Eastern European and Latin American countries as well as the stabilisatio</w:t>
      </w:r>
      <w:r w:rsidR="00CD45BF">
        <w:rPr>
          <w:lang w:val="en-US"/>
        </w:rPr>
        <w:t>n of oil and primary commodity</w:t>
      </w:r>
      <w:r w:rsidRPr="00D82BFC">
        <w:rPr>
          <w:lang w:val="en-US"/>
        </w:rPr>
        <w:t xml:space="preserve"> prices sustained the positive performance of the Eastern European and Latin American equity UCIs.</w:t>
      </w:r>
    </w:p>
    <w:p w:rsidR="0051662F" w:rsidRPr="00D82BFC" w:rsidRDefault="00D82BFC" w:rsidP="0051662F">
      <w:pPr>
        <w:rPr>
          <w:lang w:val="en-US"/>
        </w:rPr>
      </w:pPr>
      <w:r w:rsidRPr="00D82BFC">
        <w:rPr>
          <w:lang w:val="en-US"/>
        </w:rPr>
        <w:t>During August, the equity UCI categories recorded, overall, a positive net capital investment.</w:t>
      </w:r>
    </w:p>
    <w:p w:rsidR="0051662F" w:rsidRPr="00D82BFC" w:rsidRDefault="00D82BFC" w:rsidP="0051662F">
      <w:pPr>
        <w:rPr>
          <w:b/>
          <w:color w:val="27537F"/>
          <w:szCs w:val="20"/>
          <w:lang w:val="en-US" w:eastAsia="en-GB"/>
          <w:specVanish/>
        </w:rPr>
      </w:pPr>
      <w:r w:rsidRPr="00D82BFC">
        <w:rPr>
          <w:b/>
          <w:color w:val="27537F"/>
          <w:szCs w:val="20"/>
          <w:lang w:val="en-US" w:eastAsia="en-GB"/>
        </w:rPr>
        <w:t>Development of equity UCIs during the month of August</w:t>
      </w:r>
      <w:r w:rsidR="0051662F" w:rsidRPr="00D82BFC">
        <w:rPr>
          <w:b/>
          <w:color w:val="27537F"/>
          <w:szCs w:val="20"/>
          <w:lang w:val="en-US" w:eastAsia="en-GB"/>
        </w:rPr>
        <w:t xml:space="preserve"> 2017*</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552"/>
        <w:gridCol w:w="2268"/>
      </w:tblGrid>
      <w:tr w:rsidR="0051662F" w:rsidRPr="00EA3316" w:rsidTr="0051662F">
        <w:tc>
          <w:tcPr>
            <w:tcW w:w="2835" w:type="dxa"/>
          </w:tcPr>
          <w:p w:rsidR="0051662F" w:rsidRPr="00D82BFC" w:rsidRDefault="0051662F" w:rsidP="0051662F">
            <w:pPr>
              <w:tabs>
                <w:tab w:val="left" w:pos="2835"/>
                <w:tab w:val="left" w:pos="3119"/>
                <w:tab w:val="left" w:pos="3402"/>
                <w:tab w:val="left" w:pos="3686"/>
              </w:tabs>
              <w:spacing w:before="40" w:after="40" w:line="240" w:lineRule="auto"/>
              <w:ind w:right="175"/>
              <w:rPr>
                <w:lang w:val="en-US" w:eastAsia="en-GB"/>
              </w:rPr>
            </w:pPr>
          </w:p>
        </w:tc>
        <w:tc>
          <w:tcPr>
            <w:tcW w:w="2552" w:type="dxa"/>
          </w:tcPr>
          <w:p w:rsidR="0051662F" w:rsidRPr="00EA3316" w:rsidRDefault="00D82BFC" w:rsidP="0051662F">
            <w:pPr>
              <w:tabs>
                <w:tab w:val="left" w:pos="2835"/>
                <w:tab w:val="left" w:pos="3119"/>
                <w:tab w:val="left" w:pos="3402"/>
                <w:tab w:val="left" w:pos="3686"/>
              </w:tabs>
              <w:spacing w:before="40" w:after="40" w:line="240" w:lineRule="auto"/>
              <w:ind w:right="-108"/>
              <w:jc w:val="center"/>
              <w:rPr>
                <w:lang w:val="fr-FR" w:eastAsia="en-GB"/>
              </w:rPr>
            </w:pPr>
            <w:r>
              <w:rPr>
                <w:lang w:val="fr-FR" w:eastAsia="en-GB"/>
              </w:rPr>
              <w:t>Market variation in</w:t>
            </w:r>
            <w:r w:rsidR="0051662F" w:rsidRPr="00EA3316">
              <w:rPr>
                <w:lang w:val="fr-FR" w:eastAsia="en-GB"/>
              </w:rPr>
              <w:t xml:space="preserve"> %</w:t>
            </w:r>
          </w:p>
        </w:tc>
        <w:tc>
          <w:tcPr>
            <w:tcW w:w="2268" w:type="dxa"/>
          </w:tcPr>
          <w:p w:rsidR="0051662F" w:rsidRPr="00EA3316" w:rsidRDefault="00D82BFC" w:rsidP="0051662F">
            <w:pPr>
              <w:tabs>
                <w:tab w:val="left" w:pos="2835"/>
                <w:tab w:val="left" w:pos="2870"/>
                <w:tab w:val="left" w:pos="3119"/>
                <w:tab w:val="left" w:pos="3402"/>
                <w:tab w:val="left" w:pos="3686"/>
              </w:tabs>
              <w:spacing w:before="40" w:after="40" w:line="240" w:lineRule="auto"/>
              <w:ind w:right="-108"/>
              <w:jc w:val="center"/>
              <w:rPr>
                <w:lang w:val="fr-FR" w:eastAsia="en-GB"/>
              </w:rPr>
            </w:pPr>
            <w:r>
              <w:rPr>
                <w:lang w:val="fr-FR" w:eastAsia="en-GB"/>
              </w:rPr>
              <w:t>Net issues in</w:t>
            </w:r>
            <w:r w:rsidR="0051662F" w:rsidRPr="00EA3316">
              <w:rPr>
                <w:lang w:val="fr-FR" w:eastAsia="en-GB"/>
              </w:rPr>
              <w:t xml:space="preserve"> %</w:t>
            </w:r>
          </w:p>
        </w:tc>
      </w:tr>
      <w:tr w:rsidR="0051662F" w:rsidRPr="00EA3316" w:rsidTr="0051662F">
        <w:tc>
          <w:tcPr>
            <w:tcW w:w="2835" w:type="dxa"/>
            <w:vAlign w:val="center"/>
          </w:tcPr>
          <w:p w:rsidR="0051662F" w:rsidRPr="00EA3316" w:rsidRDefault="00D82BFC"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Global market equities</w:t>
            </w:r>
          </w:p>
        </w:tc>
        <w:tc>
          <w:tcPr>
            <w:tcW w:w="2552" w:type="dxa"/>
            <w:vAlign w:val="center"/>
          </w:tcPr>
          <w:p w:rsidR="0051662F" w:rsidRPr="00EA3316" w:rsidRDefault="0051662F" w:rsidP="00D82BFC">
            <w:pPr>
              <w:tabs>
                <w:tab w:val="left" w:pos="1452"/>
              </w:tabs>
              <w:spacing w:before="40" w:after="40" w:line="240" w:lineRule="auto"/>
              <w:ind w:right="884"/>
              <w:jc w:val="right"/>
              <w:rPr>
                <w:rFonts w:eastAsia="Times"/>
                <w:lang w:val="en-GB" w:eastAsia="en-GB"/>
              </w:rPr>
            </w:pPr>
            <w:r w:rsidRPr="00EA3316">
              <w:rPr>
                <w:rFonts w:eastAsia="Times"/>
                <w:lang w:val="en-GB" w:eastAsia="en-GB"/>
              </w:rPr>
              <w:t>-0</w:t>
            </w:r>
            <w:r w:rsidR="00D82BFC">
              <w:rPr>
                <w:rFonts w:eastAsia="Times"/>
                <w:lang w:val="en-GB" w:eastAsia="en-GB"/>
              </w:rPr>
              <w:t>.</w:t>
            </w:r>
            <w:r w:rsidRPr="00EA3316">
              <w:rPr>
                <w:rFonts w:eastAsia="Times"/>
                <w:lang w:val="en-GB" w:eastAsia="en-GB"/>
              </w:rPr>
              <w:t>3</w:t>
            </w:r>
            <w:r>
              <w:rPr>
                <w:rFonts w:eastAsia="Times"/>
                <w:lang w:val="en-GB" w:eastAsia="en-GB"/>
              </w:rPr>
              <w:t>5</w:t>
            </w:r>
            <w:r w:rsidRPr="00EA3316">
              <w:rPr>
                <w:rFonts w:eastAsia="Times"/>
                <w:lang w:val="en-GB" w:eastAsia="en-GB"/>
              </w:rPr>
              <w:t>%</w:t>
            </w:r>
          </w:p>
        </w:tc>
        <w:tc>
          <w:tcPr>
            <w:tcW w:w="2268" w:type="dxa"/>
            <w:vAlign w:val="center"/>
          </w:tcPr>
          <w:p w:rsidR="0051662F" w:rsidRPr="00EA3316" w:rsidRDefault="0051662F" w:rsidP="0051662F">
            <w:pPr>
              <w:tabs>
                <w:tab w:val="left" w:pos="1452"/>
              </w:tabs>
              <w:spacing w:before="40" w:after="40" w:line="240" w:lineRule="auto"/>
              <w:ind w:right="600"/>
              <w:jc w:val="right"/>
              <w:rPr>
                <w:rFonts w:eastAsia="Times"/>
                <w:lang w:val="en-GB" w:eastAsia="en-GB"/>
              </w:rPr>
            </w:pPr>
            <w:r w:rsidRPr="00EA3316">
              <w:rPr>
                <w:rFonts w:eastAsia="Times"/>
                <w:lang w:val="en-GB" w:eastAsia="en-GB"/>
              </w:rPr>
              <w:t>0</w:t>
            </w:r>
            <w:r w:rsidR="00D82BFC">
              <w:rPr>
                <w:rFonts w:eastAsia="Times"/>
                <w:lang w:val="en-GB" w:eastAsia="en-GB"/>
              </w:rPr>
              <w:t>.</w:t>
            </w:r>
            <w:r w:rsidRPr="00EA3316">
              <w:rPr>
                <w:rFonts w:eastAsia="Times"/>
                <w:lang w:val="en-GB" w:eastAsia="en-GB"/>
              </w:rPr>
              <w:t>33%</w:t>
            </w:r>
          </w:p>
        </w:tc>
      </w:tr>
      <w:tr w:rsidR="0051662F" w:rsidRPr="00EA3316" w:rsidTr="0051662F">
        <w:tc>
          <w:tcPr>
            <w:tcW w:w="2835" w:type="dxa"/>
            <w:vAlign w:val="center"/>
          </w:tcPr>
          <w:p w:rsidR="0051662F" w:rsidRPr="00EA3316" w:rsidRDefault="00D82BFC"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European equities</w:t>
            </w:r>
          </w:p>
        </w:tc>
        <w:tc>
          <w:tcPr>
            <w:tcW w:w="2552" w:type="dxa"/>
            <w:vAlign w:val="center"/>
          </w:tcPr>
          <w:p w:rsidR="0051662F" w:rsidRPr="00EA3316" w:rsidRDefault="00D82BFC" w:rsidP="0051662F">
            <w:pPr>
              <w:tabs>
                <w:tab w:val="left" w:pos="1452"/>
              </w:tabs>
              <w:spacing w:before="40" w:after="40" w:line="240" w:lineRule="auto"/>
              <w:ind w:right="884"/>
              <w:jc w:val="right"/>
              <w:rPr>
                <w:rFonts w:eastAsia="Times"/>
                <w:lang w:val="en-GB" w:eastAsia="en-GB"/>
              </w:rPr>
            </w:pPr>
            <w:r>
              <w:rPr>
                <w:rFonts w:eastAsia="Times"/>
                <w:lang w:val="en-GB" w:eastAsia="en-GB"/>
              </w:rPr>
              <w:t>-0.</w:t>
            </w:r>
            <w:r w:rsidR="0051662F">
              <w:rPr>
                <w:rFonts w:eastAsia="Times"/>
                <w:lang w:val="en-GB" w:eastAsia="en-GB"/>
              </w:rPr>
              <w:t>86</w:t>
            </w:r>
            <w:r w:rsidR="0051662F" w:rsidRPr="00EA3316">
              <w:rPr>
                <w:rFonts w:eastAsia="Times"/>
                <w:lang w:val="en-GB" w:eastAsia="en-GB"/>
              </w:rPr>
              <w:t>%</w:t>
            </w:r>
          </w:p>
        </w:tc>
        <w:tc>
          <w:tcPr>
            <w:tcW w:w="2268" w:type="dxa"/>
            <w:vAlign w:val="center"/>
          </w:tcPr>
          <w:p w:rsidR="0051662F" w:rsidRPr="00EA3316" w:rsidRDefault="00D82BFC" w:rsidP="0051662F">
            <w:pPr>
              <w:tabs>
                <w:tab w:val="left" w:pos="1452"/>
              </w:tabs>
              <w:spacing w:before="40" w:after="40" w:line="240" w:lineRule="auto"/>
              <w:ind w:right="600"/>
              <w:jc w:val="right"/>
              <w:rPr>
                <w:rFonts w:eastAsia="Times"/>
                <w:lang w:val="en-GB" w:eastAsia="en-GB"/>
              </w:rPr>
            </w:pPr>
            <w:r>
              <w:rPr>
                <w:rFonts w:eastAsia="Times"/>
                <w:lang w:val="en-GB" w:eastAsia="en-GB"/>
              </w:rPr>
              <w:t>0.</w:t>
            </w:r>
            <w:r w:rsidR="0051662F">
              <w:rPr>
                <w:rFonts w:eastAsia="Times"/>
                <w:lang w:val="en-GB" w:eastAsia="en-GB"/>
              </w:rPr>
              <w:t>21</w:t>
            </w:r>
            <w:r w:rsidR="0051662F" w:rsidRPr="00EA3316">
              <w:rPr>
                <w:rFonts w:eastAsia="Times"/>
                <w:lang w:val="en-GB" w:eastAsia="en-GB"/>
              </w:rPr>
              <w:t>%</w:t>
            </w:r>
          </w:p>
        </w:tc>
      </w:tr>
      <w:tr w:rsidR="0051662F" w:rsidRPr="00EA3316" w:rsidTr="0051662F">
        <w:tc>
          <w:tcPr>
            <w:tcW w:w="2835" w:type="dxa"/>
            <w:vAlign w:val="center"/>
          </w:tcPr>
          <w:p w:rsidR="0051662F" w:rsidRPr="00EA3316" w:rsidRDefault="00D82BFC"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US equities</w:t>
            </w:r>
          </w:p>
        </w:tc>
        <w:tc>
          <w:tcPr>
            <w:tcW w:w="2552" w:type="dxa"/>
            <w:vAlign w:val="center"/>
          </w:tcPr>
          <w:p w:rsidR="0051662F" w:rsidRPr="00EA3316" w:rsidRDefault="00D82BFC" w:rsidP="0051662F">
            <w:pPr>
              <w:tabs>
                <w:tab w:val="left" w:pos="1452"/>
              </w:tabs>
              <w:spacing w:before="40" w:after="40" w:line="240" w:lineRule="auto"/>
              <w:ind w:right="884"/>
              <w:jc w:val="right"/>
              <w:rPr>
                <w:rFonts w:eastAsia="Times"/>
                <w:lang w:val="en-GB" w:eastAsia="en-GB"/>
              </w:rPr>
            </w:pPr>
            <w:r>
              <w:rPr>
                <w:rFonts w:eastAsia="Times"/>
                <w:lang w:val="en-GB" w:eastAsia="en-GB"/>
              </w:rPr>
              <w:t>-1.</w:t>
            </w:r>
            <w:r w:rsidR="0051662F">
              <w:rPr>
                <w:rFonts w:eastAsia="Times"/>
                <w:lang w:val="en-GB" w:eastAsia="en-GB"/>
              </w:rPr>
              <w:t>00</w:t>
            </w:r>
            <w:r w:rsidR="0051662F" w:rsidRPr="00EA3316">
              <w:rPr>
                <w:rFonts w:eastAsia="Times"/>
                <w:lang w:val="en-GB" w:eastAsia="en-GB"/>
              </w:rPr>
              <w:t>%</w:t>
            </w:r>
          </w:p>
        </w:tc>
        <w:tc>
          <w:tcPr>
            <w:tcW w:w="2268" w:type="dxa"/>
            <w:vAlign w:val="center"/>
          </w:tcPr>
          <w:p w:rsidR="0051662F" w:rsidRPr="00EA3316" w:rsidRDefault="00D82BFC" w:rsidP="0051662F">
            <w:pPr>
              <w:tabs>
                <w:tab w:val="left" w:pos="1452"/>
              </w:tabs>
              <w:spacing w:before="40" w:after="40" w:line="240" w:lineRule="auto"/>
              <w:ind w:right="600"/>
              <w:jc w:val="right"/>
              <w:rPr>
                <w:rFonts w:eastAsia="Times"/>
                <w:lang w:val="en-GB" w:eastAsia="en-GB"/>
              </w:rPr>
            </w:pPr>
            <w:r>
              <w:rPr>
                <w:rFonts w:eastAsia="Times"/>
                <w:lang w:val="en-GB" w:eastAsia="en-GB"/>
              </w:rPr>
              <w:t>-0.</w:t>
            </w:r>
            <w:r w:rsidR="0051662F">
              <w:rPr>
                <w:rFonts w:eastAsia="Times"/>
                <w:lang w:val="en-GB" w:eastAsia="en-GB"/>
              </w:rPr>
              <w:t>9</w:t>
            </w:r>
            <w:r w:rsidR="0051662F" w:rsidRPr="00EA3316">
              <w:rPr>
                <w:rFonts w:eastAsia="Times"/>
                <w:lang w:val="en-GB" w:eastAsia="en-GB"/>
              </w:rPr>
              <w:t>7%</w:t>
            </w:r>
          </w:p>
        </w:tc>
      </w:tr>
      <w:tr w:rsidR="0051662F" w:rsidRPr="00EA3316" w:rsidTr="0051662F">
        <w:tc>
          <w:tcPr>
            <w:tcW w:w="2835" w:type="dxa"/>
            <w:vAlign w:val="center"/>
          </w:tcPr>
          <w:p w:rsidR="0051662F" w:rsidRPr="00EA3316" w:rsidRDefault="00D82BFC"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Japanese equities</w:t>
            </w:r>
          </w:p>
        </w:tc>
        <w:tc>
          <w:tcPr>
            <w:tcW w:w="2552" w:type="dxa"/>
            <w:vAlign w:val="center"/>
          </w:tcPr>
          <w:p w:rsidR="0051662F" w:rsidRPr="00EA3316" w:rsidRDefault="00D82BFC" w:rsidP="0051662F">
            <w:pPr>
              <w:tabs>
                <w:tab w:val="left" w:pos="1452"/>
              </w:tabs>
              <w:spacing w:before="40" w:after="40" w:line="240" w:lineRule="auto"/>
              <w:ind w:right="884"/>
              <w:jc w:val="right"/>
              <w:rPr>
                <w:rFonts w:eastAsia="Times"/>
                <w:lang w:val="en-GB" w:eastAsia="en-GB"/>
              </w:rPr>
            </w:pPr>
            <w:r>
              <w:rPr>
                <w:rFonts w:eastAsia="Times"/>
                <w:lang w:val="en-GB" w:eastAsia="en-GB"/>
              </w:rPr>
              <w:t>-0.</w:t>
            </w:r>
            <w:r w:rsidR="0051662F" w:rsidRPr="00EA3316">
              <w:rPr>
                <w:rFonts w:eastAsia="Times"/>
                <w:lang w:val="en-GB" w:eastAsia="en-GB"/>
              </w:rPr>
              <w:t>6</w:t>
            </w:r>
            <w:r w:rsidR="0051662F">
              <w:rPr>
                <w:rFonts w:eastAsia="Times"/>
                <w:lang w:val="en-GB" w:eastAsia="en-GB"/>
              </w:rPr>
              <w:t>5</w:t>
            </w:r>
            <w:r w:rsidR="0051662F" w:rsidRPr="00EA3316">
              <w:rPr>
                <w:rFonts w:eastAsia="Times"/>
                <w:lang w:val="en-GB" w:eastAsia="en-GB"/>
              </w:rPr>
              <w:t>%</w:t>
            </w:r>
          </w:p>
        </w:tc>
        <w:tc>
          <w:tcPr>
            <w:tcW w:w="2268" w:type="dxa"/>
            <w:vAlign w:val="center"/>
          </w:tcPr>
          <w:p w:rsidR="0051662F" w:rsidRPr="00EA3316" w:rsidRDefault="00D82BFC" w:rsidP="0051662F">
            <w:pPr>
              <w:tabs>
                <w:tab w:val="left" w:pos="1452"/>
              </w:tabs>
              <w:spacing w:before="40" w:after="40" w:line="240" w:lineRule="auto"/>
              <w:ind w:right="600"/>
              <w:jc w:val="right"/>
              <w:rPr>
                <w:rFonts w:eastAsia="Times"/>
                <w:lang w:val="en-GB" w:eastAsia="en-GB"/>
              </w:rPr>
            </w:pPr>
            <w:r>
              <w:rPr>
                <w:rFonts w:eastAsia="Times"/>
                <w:lang w:val="en-GB" w:eastAsia="en-GB"/>
              </w:rPr>
              <w:t>0.</w:t>
            </w:r>
            <w:r w:rsidR="0051662F">
              <w:rPr>
                <w:rFonts w:eastAsia="Times"/>
                <w:lang w:val="en-GB" w:eastAsia="en-GB"/>
              </w:rPr>
              <w:t>0</w:t>
            </w:r>
            <w:r w:rsidR="0051662F" w:rsidRPr="00EA3316">
              <w:rPr>
                <w:rFonts w:eastAsia="Times"/>
                <w:lang w:val="en-GB" w:eastAsia="en-GB"/>
              </w:rPr>
              <w:t>8%</w:t>
            </w:r>
          </w:p>
        </w:tc>
      </w:tr>
      <w:tr w:rsidR="0051662F" w:rsidRPr="00EA3316" w:rsidTr="0051662F">
        <w:tc>
          <w:tcPr>
            <w:tcW w:w="2835" w:type="dxa"/>
            <w:vAlign w:val="center"/>
          </w:tcPr>
          <w:p w:rsidR="0051662F" w:rsidRPr="00EA3316" w:rsidRDefault="00D82BFC"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Eastern European equities</w:t>
            </w:r>
          </w:p>
        </w:tc>
        <w:tc>
          <w:tcPr>
            <w:tcW w:w="2552" w:type="dxa"/>
            <w:vAlign w:val="center"/>
          </w:tcPr>
          <w:p w:rsidR="0051662F" w:rsidRPr="00EA3316" w:rsidRDefault="0051662F" w:rsidP="0051662F">
            <w:pPr>
              <w:tabs>
                <w:tab w:val="left" w:pos="1452"/>
              </w:tabs>
              <w:spacing w:before="40" w:after="40" w:line="240" w:lineRule="auto"/>
              <w:ind w:right="884"/>
              <w:jc w:val="right"/>
              <w:rPr>
                <w:rFonts w:eastAsia="Times"/>
                <w:lang w:val="en-GB" w:eastAsia="en-GB"/>
              </w:rPr>
            </w:pPr>
            <w:r>
              <w:rPr>
                <w:rFonts w:eastAsia="Times"/>
                <w:lang w:val="en-GB" w:eastAsia="en-GB"/>
              </w:rPr>
              <w:t>4</w:t>
            </w:r>
            <w:r w:rsidR="00D82BFC">
              <w:rPr>
                <w:rFonts w:eastAsia="Times"/>
                <w:lang w:val="en-GB" w:eastAsia="en-GB"/>
              </w:rPr>
              <w:t>.</w:t>
            </w:r>
            <w:r>
              <w:rPr>
                <w:rFonts w:eastAsia="Times"/>
                <w:lang w:val="en-GB" w:eastAsia="en-GB"/>
              </w:rPr>
              <w:t>9</w:t>
            </w:r>
            <w:r w:rsidRPr="00EA3316">
              <w:rPr>
                <w:rFonts w:eastAsia="Times"/>
                <w:lang w:val="en-GB" w:eastAsia="en-GB"/>
              </w:rPr>
              <w:t>1%</w:t>
            </w:r>
          </w:p>
        </w:tc>
        <w:tc>
          <w:tcPr>
            <w:tcW w:w="2268" w:type="dxa"/>
            <w:vAlign w:val="center"/>
          </w:tcPr>
          <w:p w:rsidR="0051662F" w:rsidRPr="00EA3316" w:rsidRDefault="00D82BFC" w:rsidP="0051662F">
            <w:pPr>
              <w:tabs>
                <w:tab w:val="left" w:pos="1452"/>
              </w:tabs>
              <w:spacing w:before="40" w:after="40" w:line="240" w:lineRule="auto"/>
              <w:ind w:right="600"/>
              <w:jc w:val="right"/>
              <w:rPr>
                <w:rFonts w:eastAsia="Times"/>
                <w:lang w:val="en-GB" w:eastAsia="en-GB"/>
              </w:rPr>
            </w:pPr>
            <w:r>
              <w:rPr>
                <w:rFonts w:eastAsia="Times"/>
                <w:lang w:val="en-GB" w:eastAsia="en-GB"/>
              </w:rPr>
              <w:t>0.</w:t>
            </w:r>
            <w:r w:rsidR="0051662F">
              <w:rPr>
                <w:rFonts w:eastAsia="Times"/>
                <w:lang w:val="en-GB" w:eastAsia="en-GB"/>
              </w:rPr>
              <w:t>03</w:t>
            </w:r>
            <w:r w:rsidR="0051662F" w:rsidRPr="00EA3316">
              <w:rPr>
                <w:rFonts w:eastAsia="Times"/>
                <w:lang w:val="en-GB" w:eastAsia="en-GB"/>
              </w:rPr>
              <w:t>%</w:t>
            </w:r>
          </w:p>
        </w:tc>
      </w:tr>
      <w:tr w:rsidR="0051662F" w:rsidRPr="00EA3316" w:rsidTr="0051662F">
        <w:tc>
          <w:tcPr>
            <w:tcW w:w="2835" w:type="dxa"/>
            <w:vAlign w:val="center"/>
          </w:tcPr>
          <w:p w:rsidR="0051662F" w:rsidRPr="00EA3316" w:rsidRDefault="00D82BFC"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Asian equities</w:t>
            </w:r>
          </w:p>
        </w:tc>
        <w:tc>
          <w:tcPr>
            <w:tcW w:w="2552" w:type="dxa"/>
            <w:vAlign w:val="center"/>
          </w:tcPr>
          <w:p w:rsidR="0051662F" w:rsidRPr="00EA3316" w:rsidRDefault="0051662F" w:rsidP="0051662F">
            <w:pPr>
              <w:tabs>
                <w:tab w:val="left" w:pos="1452"/>
                <w:tab w:val="left" w:pos="2835"/>
                <w:tab w:val="left" w:pos="3119"/>
                <w:tab w:val="left" w:pos="3402"/>
                <w:tab w:val="left" w:pos="3686"/>
              </w:tabs>
              <w:spacing w:before="40" w:after="40" w:line="240" w:lineRule="auto"/>
              <w:ind w:right="884"/>
              <w:jc w:val="right"/>
              <w:rPr>
                <w:lang w:val="fr-FR" w:eastAsia="en-GB"/>
              </w:rPr>
            </w:pPr>
            <w:r>
              <w:rPr>
                <w:lang w:val="en-GB" w:eastAsia="en-GB"/>
              </w:rPr>
              <w:t>0</w:t>
            </w:r>
            <w:r w:rsidR="00D82BFC">
              <w:rPr>
                <w:lang w:val="en-GB" w:eastAsia="en-GB"/>
              </w:rPr>
              <w:t>.</w:t>
            </w:r>
            <w:r>
              <w:rPr>
                <w:lang w:val="en-GB" w:eastAsia="en-GB"/>
              </w:rPr>
              <w:t>31</w:t>
            </w:r>
            <w:r w:rsidRPr="00EA3316">
              <w:rPr>
                <w:lang w:val="en-GB" w:eastAsia="en-GB"/>
              </w:rPr>
              <w:t>%</w:t>
            </w:r>
          </w:p>
        </w:tc>
        <w:tc>
          <w:tcPr>
            <w:tcW w:w="2268" w:type="dxa"/>
            <w:vAlign w:val="center"/>
          </w:tcPr>
          <w:p w:rsidR="0051662F" w:rsidRPr="00EA3316" w:rsidRDefault="0051662F" w:rsidP="0051662F">
            <w:pPr>
              <w:tabs>
                <w:tab w:val="left" w:pos="1452"/>
              </w:tabs>
              <w:spacing w:before="40" w:after="40" w:line="240" w:lineRule="auto"/>
              <w:ind w:right="600"/>
              <w:jc w:val="right"/>
              <w:rPr>
                <w:rFonts w:eastAsia="Times"/>
                <w:lang w:val="en-GB" w:eastAsia="en-GB"/>
              </w:rPr>
            </w:pPr>
            <w:r w:rsidRPr="00EA3316">
              <w:rPr>
                <w:rFonts w:eastAsia="Times"/>
                <w:lang w:val="en-GB" w:eastAsia="en-GB"/>
              </w:rPr>
              <w:t>0</w:t>
            </w:r>
            <w:r w:rsidR="00D82BFC">
              <w:rPr>
                <w:rFonts w:eastAsia="Times"/>
                <w:lang w:val="en-GB" w:eastAsia="en-GB"/>
              </w:rPr>
              <w:t>.</w:t>
            </w:r>
            <w:r>
              <w:rPr>
                <w:rFonts w:eastAsia="Times"/>
                <w:lang w:val="en-GB" w:eastAsia="en-GB"/>
              </w:rPr>
              <w:t>29</w:t>
            </w:r>
            <w:r w:rsidRPr="00EA3316">
              <w:rPr>
                <w:rFonts w:eastAsia="Times"/>
                <w:lang w:val="en-GB" w:eastAsia="en-GB"/>
              </w:rPr>
              <w:t>%</w:t>
            </w:r>
          </w:p>
        </w:tc>
      </w:tr>
      <w:tr w:rsidR="0051662F" w:rsidRPr="00EA3316" w:rsidTr="0051662F">
        <w:tc>
          <w:tcPr>
            <w:tcW w:w="2835" w:type="dxa"/>
            <w:vAlign w:val="center"/>
          </w:tcPr>
          <w:p w:rsidR="0051662F" w:rsidRPr="00EA3316" w:rsidRDefault="003B31AF"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Latin American equities</w:t>
            </w:r>
          </w:p>
        </w:tc>
        <w:tc>
          <w:tcPr>
            <w:tcW w:w="2552" w:type="dxa"/>
            <w:vAlign w:val="center"/>
          </w:tcPr>
          <w:p w:rsidR="0051662F" w:rsidRPr="00EA3316" w:rsidRDefault="0051662F" w:rsidP="0051662F">
            <w:pPr>
              <w:tabs>
                <w:tab w:val="left" w:pos="1452"/>
              </w:tabs>
              <w:spacing w:before="40" w:after="40" w:line="240" w:lineRule="auto"/>
              <w:ind w:right="884"/>
              <w:jc w:val="right"/>
              <w:rPr>
                <w:rFonts w:eastAsia="Times"/>
                <w:lang w:val="en-GB" w:eastAsia="en-GB"/>
              </w:rPr>
            </w:pPr>
            <w:r>
              <w:rPr>
                <w:rFonts w:eastAsia="Times"/>
                <w:lang w:val="en-GB" w:eastAsia="en-GB"/>
              </w:rPr>
              <w:t>3</w:t>
            </w:r>
            <w:r w:rsidR="00D82BFC">
              <w:rPr>
                <w:rFonts w:eastAsia="Times"/>
                <w:lang w:val="en-GB" w:eastAsia="en-GB"/>
              </w:rPr>
              <w:t>.</w:t>
            </w:r>
            <w:r>
              <w:rPr>
                <w:rFonts w:eastAsia="Times"/>
                <w:lang w:val="en-GB" w:eastAsia="en-GB"/>
              </w:rPr>
              <w:t>73</w:t>
            </w:r>
            <w:r w:rsidRPr="00EA3316">
              <w:rPr>
                <w:rFonts w:eastAsia="Times"/>
                <w:lang w:val="en-GB" w:eastAsia="en-GB"/>
              </w:rPr>
              <w:t>%</w:t>
            </w:r>
          </w:p>
        </w:tc>
        <w:tc>
          <w:tcPr>
            <w:tcW w:w="2268" w:type="dxa"/>
            <w:vAlign w:val="center"/>
          </w:tcPr>
          <w:p w:rsidR="0051662F" w:rsidRPr="00EA3316" w:rsidRDefault="00D82BFC" w:rsidP="0051662F">
            <w:pPr>
              <w:tabs>
                <w:tab w:val="left" w:pos="1452"/>
              </w:tabs>
              <w:spacing w:before="40" w:after="40" w:line="240" w:lineRule="auto"/>
              <w:ind w:right="600"/>
              <w:jc w:val="right"/>
              <w:rPr>
                <w:rFonts w:eastAsia="Times"/>
                <w:lang w:val="en-GB" w:eastAsia="en-GB"/>
              </w:rPr>
            </w:pPr>
            <w:r>
              <w:rPr>
                <w:rFonts w:eastAsia="Times"/>
                <w:lang w:val="en-GB" w:eastAsia="en-GB"/>
              </w:rPr>
              <w:t>0.</w:t>
            </w:r>
            <w:r w:rsidR="0051662F">
              <w:rPr>
                <w:rFonts w:eastAsia="Times"/>
                <w:lang w:val="en-GB" w:eastAsia="en-GB"/>
              </w:rPr>
              <w:t>47</w:t>
            </w:r>
            <w:r w:rsidR="0051662F" w:rsidRPr="00EA3316">
              <w:rPr>
                <w:rFonts w:eastAsia="Times"/>
                <w:lang w:val="en-GB" w:eastAsia="en-GB"/>
              </w:rPr>
              <w:t>%</w:t>
            </w:r>
          </w:p>
        </w:tc>
      </w:tr>
      <w:tr w:rsidR="0051662F" w:rsidRPr="00EA3316" w:rsidTr="0051662F">
        <w:tc>
          <w:tcPr>
            <w:tcW w:w="2835" w:type="dxa"/>
            <w:vAlign w:val="center"/>
          </w:tcPr>
          <w:p w:rsidR="0051662F" w:rsidRPr="00EA3316" w:rsidRDefault="003B31AF"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Other equities</w:t>
            </w:r>
          </w:p>
        </w:tc>
        <w:tc>
          <w:tcPr>
            <w:tcW w:w="2552" w:type="dxa"/>
            <w:vAlign w:val="center"/>
          </w:tcPr>
          <w:p w:rsidR="0051662F" w:rsidRPr="00EA3316" w:rsidRDefault="0051662F" w:rsidP="0051662F">
            <w:pPr>
              <w:tabs>
                <w:tab w:val="left" w:pos="1452"/>
              </w:tabs>
              <w:spacing w:before="40" w:after="40" w:line="240" w:lineRule="auto"/>
              <w:ind w:right="884"/>
              <w:jc w:val="right"/>
              <w:rPr>
                <w:rFonts w:eastAsia="Times"/>
                <w:lang w:val="en-GB" w:eastAsia="en-GB"/>
              </w:rPr>
            </w:pPr>
            <w:r>
              <w:rPr>
                <w:rFonts w:eastAsia="Times"/>
                <w:lang w:val="en-GB" w:eastAsia="en-GB"/>
              </w:rPr>
              <w:t>0</w:t>
            </w:r>
            <w:r w:rsidR="00D82BFC">
              <w:rPr>
                <w:rFonts w:eastAsia="Times"/>
                <w:lang w:val="en-GB" w:eastAsia="en-GB"/>
              </w:rPr>
              <w:t>.</w:t>
            </w:r>
            <w:r>
              <w:rPr>
                <w:rFonts w:eastAsia="Times"/>
                <w:lang w:val="en-GB" w:eastAsia="en-GB"/>
              </w:rPr>
              <w:t>48</w:t>
            </w:r>
            <w:r w:rsidRPr="00EA3316">
              <w:rPr>
                <w:rFonts w:eastAsia="Times"/>
                <w:lang w:val="en-GB" w:eastAsia="en-GB"/>
              </w:rPr>
              <w:t>%</w:t>
            </w:r>
          </w:p>
        </w:tc>
        <w:tc>
          <w:tcPr>
            <w:tcW w:w="2268" w:type="dxa"/>
            <w:vAlign w:val="center"/>
          </w:tcPr>
          <w:p w:rsidR="0051662F" w:rsidRPr="00EA3316" w:rsidRDefault="00D82BFC" w:rsidP="0051662F">
            <w:pPr>
              <w:tabs>
                <w:tab w:val="left" w:pos="1452"/>
              </w:tabs>
              <w:spacing w:before="40" w:after="40" w:line="240" w:lineRule="auto"/>
              <w:ind w:right="600"/>
              <w:jc w:val="right"/>
              <w:rPr>
                <w:rFonts w:eastAsia="Times"/>
                <w:lang w:val="en-GB" w:eastAsia="en-GB"/>
              </w:rPr>
            </w:pPr>
            <w:r>
              <w:rPr>
                <w:rFonts w:eastAsia="Times"/>
                <w:lang w:val="en-GB" w:eastAsia="en-GB"/>
              </w:rPr>
              <w:t>0.</w:t>
            </w:r>
            <w:r w:rsidR="0051662F">
              <w:rPr>
                <w:rFonts w:eastAsia="Times"/>
                <w:lang w:val="en-GB" w:eastAsia="en-GB"/>
              </w:rPr>
              <w:t>31</w:t>
            </w:r>
            <w:r w:rsidR="0051662F" w:rsidRPr="00EA3316">
              <w:rPr>
                <w:rFonts w:eastAsia="Times"/>
                <w:lang w:val="en-GB" w:eastAsia="en-GB"/>
              </w:rPr>
              <w:t>%</w:t>
            </w:r>
          </w:p>
        </w:tc>
      </w:tr>
    </w:tbl>
    <w:p w:rsidR="0051662F" w:rsidRPr="003B31AF" w:rsidRDefault="0051662F" w:rsidP="0051662F">
      <w:pPr>
        <w:pStyle w:val="BlockText"/>
        <w:tabs>
          <w:tab w:val="clear" w:pos="2835"/>
          <w:tab w:val="clear" w:pos="3119"/>
          <w:tab w:val="clear" w:pos="3402"/>
          <w:tab w:val="clear" w:pos="3686"/>
          <w:tab w:val="left" w:pos="2040"/>
        </w:tabs>
        <w:spacing w:before="0"/>
        <w:ind w:left="2040" w:right="1701" w:hanging="2040"/>
        <w:rPr>
          <w:i/>
          <w:sz w:val="14"/>
          <w:szCs w:val="14"/>
          <w:lang w:val="en-US"/>
        </w:rPr>
      </w:pPr>
      <w:r w:rsidRPr="003B31AF">
        <w:rPr>
          <w:i/>
          <w:sz w:val="14"/>
          <w:szCs w:val="14"/>
          <w:lang w:val="en-US"/>
        </w:rPr>
        <w:t xml:space="preserve">* </w:t>
      </w:r>
      <w:r w:rsidR="003B31AF" w:rsidRPr="003B31AF">
        <w:rPr>
          <w:i/>
          <w:sz w:val="14"/>
          <w:szCs w:val="14"/>
          <w:lang w:val="en-US"/>
        </w:rPr>
        <w:t>Variation in % of Net Assets in EUR as compared to the previous month.</w:t>
      </w:r>
    </w:p>
    <w:p w:rsidR="0051662F" w:rsidRPr="003B31AF" w:rsidRDefault="003B31AF" w:rsidP="003B31AF">
      <w:pPr>
        <w:rPr>
          <w:lang w:val="en-US"/>
        </w:rPr>
      </w:pPr>
      <w:r w:rsidRPr="003B31AF">
        <w:rPr>
          <w:lang w:val="en-US"/>
        </w:rPr>
        <w:t xml:space="preserve">In Europe, due to their safe-haven status, </w:t>
      </w:r>
      <w:r w:rsidR="00CD45BF">
        <w:rPr>
          <w:lang w:val="en-US"/>
        </w:rPr>
        <w:t>high</w:t>
      </w:r>
      <w:r w:rsidRPr="003B31AF">
        <w:rPr>
          <w:lang w:val="en-US"/>
        </w:rPr>
        <w:t xml:space="preserve">-rated euro area government bond yields </w:t>
      </w:r>
      <w:r w:rsidR="00CD45BF">
        <w:rPr>
          <w:lang w:val="en-US"/>
        </w:rPr>
        <w:t>declined</w:t>
      </w:r>
      <w:r w:rsidRPr="003B31AF">
        <w:rPr>
          <w:lang w:val="en-US"/>
        </w:rPr>
        <w:t xml:space="preserve"> amid geopolitical tensions linked to North Korea.</w:t>
      </w:r>
      <w:r>
        <w:rPr>
          <w:lang w:val="en-US"/>
        </w:rPr>
        <w:t xml:space="preserve"> </w:t>
      </w:r>
      <w:r w:rsidRPr="003B31AF">
        <w:rPr>
          <w:lang w:val="en-US"/>
        </w:rPr>
        <w:t xml:space="preserve">Lower-rated euro area countries recorded a </w:t>
      </w:r>
      <w:r w:rsidR="00CD45BF">
        <w:rPr>
          <w:lang w:val="en-US"/>
        </w:rPr>
        <w:t xml:space="preserve">more </w:t>
      </w:r>
      <w:r w:rsidRPr="003B31AF">
        <w:rPr>
          <w:lang w:val="en-US"/>
        </w:rPr>
        <w:t xml:space="preserve">moderate decline in their government bond yields which </w:t>
      </w:r>
      <w:r w:rsidR="00CD45BF">
        <w:rPr>
          <w:lang w:val="en-US"/>
        </w:rPr>
        <w:t>widened the</w:t>
      </w:r>
      <w:r w:rsidRPr="003B31AF">
        <w:rPr>
          <w:lang w:val="en-US"/>
        </w:rPr>
        <w:t xml:space="preserve"> yield spreads between them and higher-rated euro area countries.</w:t>
      </w:r>
      <w:r>
        <w:rPr>
          <w:lang w:val="en-US"/>
        </w:rPr>
        <w:t xml:space="preserve"> </w:t>
      </w:r>
      <w:r w:rsidRPr="003B31AF">
        <w:rPr>
          <w:lang w:val="en-US"/>
        </w:rPr>
        <w:t>In the wake of the rise in government bond yields, corporate bonds also registered price increases, so that EUR-denominated bond UCIs slightly appreciated.</w:t>
      </w:r>
    </w:p>
    <w:p w:rsidR="0051662F" w:rsidRPr="003B31AF" w:rsidRDefault="003B31AF" w:rsidP="003B31AF">
      <w:pPr>
        <w:rPr>
          <w:lang w:val="en-US"/>
        </w:rPr>
      </w:pPr>
      <w:r w:rsidRPr="003B31AF">
        <w:rPr>
          <w:lang w:val="en-US"/>
        </w:rPr>
        <w:t>In the United States, US government bond yields also decreased as a result of low inflation and the search by investors for safe-haven assets in the context of geopolitical tensions and uncertainties as regards US economic policy.</w:t>
      </w:r>
      <w:r>
        <w:rPr>
          <w:lang w:val="en-US"/>
        </w:rPr>
        <w:t xml:space="preserve"> </w:t>
      </w:r>
      <w:r w:rsidRPr="003B31AF">
        <w:rPr>
          <w:lang w:val="en-US"/>
        </w:rPr>
        <w:t xml:space="preserve">Combined with the USD vs. EUR depreciation, </w:t>
      </w:r>
      <w:r w:rsidR="0033161F">
        <w:rPr>
          <w:lang w:val="en-US"/>
        </w:rPr>
        <w:t xml:space="preserve">the </w:t>
      </w:r>
      <w:r w:rsidRPr="003B31AF">
        <w:rPr>
          <w:lang w:val="en-US"/>
        </w:rPr>
        <w:t>USD-denominated bond UCI category remained unchanged.</w:t>
      </w:r>
    </w:p>
    <w:p w:rsidR="0051662F" w:rsidRPr="003B31AF" w:rsidRDefault="003B31AF" w:rsidP="0051662F">
      <w:pPr>
        <w:rPr>
          <w:lang w:val="en-US"/>
        </w:rPr>
      </w:pPr>
      <w:r w:rsidRPr="003B31AF">
        <w:rPr>
          <w:lang w:val="en-US"/>
        </w:rPr>
        <w:t>Overall, emerging countries bonds recorded price increases due to economic fundamentals which were stable on average, the recovery of world trade and the stabilisation of primary commodit</w:t>
      </w:r>
      <w:r w:rsidR="00CD45BF">
        <w:rPr>
          <w:lang w:val="en-US"/>
        </w:rPr>
        <w:t>y</w:t>
      </w:r>
      <w:r w:rsidRPr="003B31AF">
        <w:rPr>
          <w:lang w:val="en-US"/>
        </w:rPr>
        <w:t xml:space="preserve"> prices. Consequently, the emerging countries bond UCIs ended the month up.</w:t>
      </w:r>
    </w:p>
    <w:p w:rsidR="0051662F" w:rsidRPr="003B31AF" w:rsidRDefault="003B31AF" w:rsidP="0051662F">
      <w:pPr>
        <w:rPr>
          <w:lang w:val="en-US"/>
        </w:rPr>
      </w:pPr>
      <w:r w:rsidRPr="003B31AF">
        <w:rPr>
          <w:lang w:val="en-US"/>
        </w:rPr>
        <w:t>In August, fixed-income UCI categories registered an overall positive net capital investment.</w:t>
      </w:r>
    </w:p>
    <w:p w:rsidR="008E4D30" w:rsidRPr="003B31AF" w:rsidRDefault="008E4D30">
      <w:pPr>
        <w:spacing w:before="0" w:after="0" w:line="240" w:lineRule="auto"/>
        <w:jc w:val="left"/>
        <w:rPr>
          <w:b/>
          <w:color w:val="27537F"/>
          <w:szCs w:val="20"/>
          <w:lang w:val="en-US" w:eastAsia="en-GB"/>
        </w:rPr>
      </w:pPr>
      <w:r w:rsidRPr="003B31AF">
        <w:rPr>
          <w:b/>
          <w:color w:val="27537F"/>
          <w:szCs w:val="20"/>
          <w:lang w:val="en-US" w:eastAsia="en-GB"/>
        </w:rPr>
        <w:br w:type="page"/>
      </w:r>
    </w:p>
    <w:p w:rsidR="0051662F" w:rsidRPr="003B31AF" w:rsidRDefault="003B31AF" w:rsidP="0051662F">
      <w:pPr>
        <w:rPr>
          <w:b/>
          <w:color w:val="27537F"/>
          <w:szCs w:val="20"/>
          <w:lang w:val="en-US" w:eastAsia="en-GB"/>
        </w:rPr>
      </w:pPr>
      <w:r w:rsidRPr="003B31AF">
        <w:rPr>
          <w:b/>
          <w:color w:val="27537F"/>
          <w:szCs w:val="20"/>
          <w:lang w:val="en-US" w:eastAsia="en-GB"/>
        </w:rPr>
        <w:lastRenderedPageBreak/>
        <w:t>Development of fixed-income UCIs during the month of August</w:t>
      </w:r>
      <w:r w:rsidR="0051662F" w:rsidRPr="003B31AF">
        <w:rPr>
          <w:b/>
          <w:color w:val="27537F"/>
          <w:szCs w:val="20"/>
          <w:lang w:val="en-US" w:eastAsia="en-GB"/>
        </w:rPr>
        <w:t xml:space="preserve"> 2017*</w:t>
      </w:r>
    </w:p>
    <w:tbl>
      <w:tblPr>
        <w:tblW w:w="8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547"/>
        <w:gridCol w:w="2410"/>
      </w:tblGrid>
      <w:tr w:rsidR="0051662F" w:rsidRPr="00BD1FD4" w:rsidTr="0051662F">
        <w:tc>
          <w:tcPr>
            <w:tcW w:w="3114" w:type="dxa"/>
            <w:vAlign w:val="center"/>
          </w:tcPr>
          <w:p w:rsidR="0051662F" w:rsidRPr="003B31AF" w:rsidRDefault="0051662F" w:rsidP="0051662F">
            <w:pPr>
              <w:tabs>
                <w:tab w:val="left" w:pos="2835"/>
                <w:tab w:val="left" w:pos="3119"/>
                <w:tab w:val="left" w:pos="3402"/>
                <w:tab w:val="left" w:pos="3686"/>
              </w:tabs>
              <w:spacing w:before="40" w:after="40" w:line="240" w:lineRule="auto"/>
              <w:ind w:right="175"/>
              <w:jc w:val="left"/>
              <w:rPr>
                <w:lang w:val="en-US" w:eastAsia="en-GB"/>
              </w:rPr>
            </w:pPr>
          </w:p>
        </w:tc>
        <w:tc>
          <w:tcPr>
            <w:tcW w:w="2547" w:type="dxa"/>
            <w:vAlign w:val="center"/>
          </w:tcPr>
          <w:p w:rsidR="0051662F" w:rsidRPr="007D48AF" w:rsidRDefault="003B31AF" w:rsidP="003B31AF">
            <w:pPr>
              <w:tabs>
                <w:tab w:val="left" w:pos="2835"/>
                <w:tab w:val="left" w:pos="3119"/>
                <w:tab w:val="left" w:pos="3402"/>
                <w:tab w:val="left" w:pos="3686"/>
              </w:tabs>
              <w:spacing w:before="40" w:after="40" w:line="240" w:lineRule="auto"/>
              <w:ind w:right="-108"/>
              <w:jc w:val="center"/>
              <w:rPr>
                <w:lang w:val="fr-FR" w:eastAsia="en-GB"/>
              </w:rPr>
            </w:pPr>
            <w:r>
              <w:rPr>
                <w:lang w:val="fr-FR" w:eastAsia="en-GB"/>
              </w:rPr>
              <w:t>Market variation in</w:t>
            </w:r>
            <w:r w:rsidR="0051662F" w:rsidRPr="007D48AF">
              <w:rPr>
                <w:lang w:val="fr-FR" w:eastAsia="en-GB"/>
              </w:rPr>
              <w:t xml:space="preserve"> %</w:t>
            </w:r>
          </w:p>
        </w:tc>
        <w:tc>
          <w:tcPr>
            <w:tcW w:w="2410" w:type="dxa"/>
            <w:vAlign w:val="center"/>
          </w:tcPr>
          <w:p w:rsidR="0051662F" w:rsidRPr="007D48AF" w:rsidRDefault="003B31AF" w:rsidP="003B31AF">
            <w:pPr>
              <w:tabs>
                <w:tab w:val="left" w:pos="2835"/>
                <w:tab w:val="left" w:pos="2870"/>
                <w:tab w:val="left" w:pos="3119"/>
                <w:tab w:val="left" w:pos="3402"/>
                <w:tab w:val="left" w:pos="3686"/>
              </w:tabs>
              <w:spacing w:before="40" w:after="40" w:line="240" w:lineRule="auto"/>
              <w:ind w:right="-107"/>
              <w:jc w:val="center"/>
              <w:rPr>
                <w:lang w:val="fr-FR" w:eastAsia="en-GB"/>
              </w:rPr>
            </w:pPr>
            <w:r>
              <w:rPr>
                <w:lang w:val="fr-FR" w:eastAsia="en-GB"/>
              </w:rPr>
              <w:t>Net issues in</w:t>
            </w:r>
            <w:r w:rsidR="0051662F" w:rsidRPr="007D48AF">
              <w:rPr>
                <w:lang w:val="fr-FR" w:eastAsia="en-GB"/>
              </w:rPr>
              <w:t xml:space="preserve"> %</w:t>
            </w:r>
          </w:p>
        </w:tc>
      </w:tr>
      <w:tr w:rsidR="0051662F" w:rsidRPr="00BD1FD4" w:rsidTr="0051662F">
        <w:tc>
          <w:tcPr>
            <w:tcW w:w="3114" w:type="dxa"/>
            <w:vAlign w:val="center"/>
          </w:tcPr>
          <w:p w:rsidR="0051662F" w:rsidRPr="007D48AF" w:rsidRDefault="0051662F" w:rsidP="0051662F">
            <w:pPr>
              <w:tabs>
                <w:tab w:val="left" w:pos="2835"/>
                <w:tab w:val="left" w:pos="3119"/>
                <w:tab w:val="left" w:pos="3402"/>
                <w:tab w:val="left" w:pos="3686"/>
              </w:tabs>
              <w:spacing w:before="40" w:after="40" w:line="240" w:lineRule="auto"/>
              <w:ind w:right="175"/>
              <w:jc w:val="left"/>
              <w:rPr>
                <w:lang w:val="fr-FR" w:eastAsia="en-GB"/>
              </w:rPr>
            </w:pPr>
            <w:r w:rsidRPr="007D48AF">
              <w:rPr>
                <w:lang w:val="fr-FR" w:eastAsia="en-GB"/>
              </w:rPr>
              <w:t>EUR</w:t>
            </w:r>
            <w:r w:rsidR="003B31AF">
              <w:rPr>
                <w:lang w:val="fr-FR" w:eastAsia="en-GB"/>
              </w:rPr>
              <w:t xml:space="preserve"> money market</w:t>
            </w:r>
          </w:p>
        </w:tc>
        <w:tc>
          <w:tcPr>
            <w:tcW w:w="2547" w:type="dxa"/>
            <w:vAlign w:val="center"/>
          </w:tcPr>
          <w:p w:rsidR="0051662F" w:rsidRPr="007D48AF" w:rsidRDefault="003B31AF" w:rsidP="0051662F">
            <w:pPr>
              <w:spacing w:before="40" w:after="40" w:line="240" w:lineRule="auto"/>
              <w:ind w:right="889"/>
              <w:jc w:val="right"/>
              <w:rPr>
                <w:lang w:val="fr-FR" w:eastAsia="fr-FR"/>
              </w:rPr>
            </w:pPr>
            <w:r>
              <w:rPr>
                <w:lang w:val="fr-FR" w:eastAsia="fr-FR"/>
              </w:rPr>
              <w:t>-0.</w:t>
            </w:r>
            <w:r w:rsidR="0051662F" w:rsidRPr="007D48AF">
              <w:rPr>
                <w:lang w:val="fr-FR" w:eastAsia="fr-FR"/>
              </w:rPr>
              <w:t>03%</w:t>
            </w:r>
          </w:p>
        </w:tc>
        <w:tc>
          <w:tcPr>
            <w:tcW w:w="2410" w:type="dxa"/>
            <w:vAlign w:val="center"/>
          </w:tcPr>
          <w:p w:rsidR="0051662F" w:rsidRPr="007D48AF" w:rsidRDefault="003B31AF" w:rsidP="0051662F">
            <w:pPr>
              <w:spacing w:before="40" w:after="40" w:line="240" w:lineRule="auto"/>
              <w:ind w:right="606"/>
              <w:jc w:val="right"/>
              <w:rPr>
                <w:rFonts w:eastAsia="Times"/>
                <w:lang w:val="en-GB" w:eastAsia="en-GB"/>
              </w:rPr>
            </w:pPr>
            <w:r>
              <w:rPr>
                <w:rFonts w:eastAsia="Times"/>
                <w:lang w:val="en-GB" w:eastAsia="en-GB"/>
              </w:rPr>
              <w:t>2.</w:t>
            </w:r>
            <w:r w:rsidR="0051662F" w:rsidRPr="007D48AF">
              <w:rPr>
                <w:rFonts w:eastAsia="Times"/>
                <w:lang w:val="en-GB" w:eastAsia="en-GB"/>
              </w:rPr>
              <w:t>20%</w:t>
            </w:r>
          </w:p>
        </w:tc>
      </w:tr>
      <w:tr w:rsidR="0051662F" w:rsidRPr="00BD1FD4" w:rsidTr="0051662F">
        <w:tc>
          <w:tcPr>
            <w:tcW w:w="3114" w:type="dxa"/>
            <w:vAlign w:val="center"/>
          </w:tcPr>
          <w:p w:rsidR="0051662F" w:rsidRPr="007D48AF" w:rsidRDefault="0051662F" w:rsidP="0051662F">
            <w:pPr>
              <w:tabs>
                <w:tab w:val="left" w:pos="2835"/>
                <w:tab w:val="left" w:pos="3119"/>
                <w:tab w:val="left" w:pos="3402"/>
                <w:tab w:val="left" w:pos="3686"/>
              </w:tabs>
              <w:spacing w:before="40" w:after="40" w:line="240" w:lineRule="auto"/>
              <w:ind w:right="175"/>
              <w:jc w:val="left"/>
              <w:rPr>
                <w:lang w:val="fr-FR" w:eastAsia="en-GB"/>
              </w:rPr>
            </w:pPr>
            <w:r w:rsidRPr="007D48AF">
              <w:rPr>
                <w:lang w:val="fr-FR" w:eastAsia="en-GB"/>
              </w:rPr>
              <w:t>USD</w:t>
            </w:r>
            <w:r w:rsidR="003B31AF">
              <w:rPr>
                <w:lang w:val="fr-FR" w:eastAsia="en-GB"/>
              </w:rPr>
              <w:t xml:space="preserve"> money market</w:t>
            </w:r>
          </w:p>
        </w:tc>
        <w:tc>
          <w:tcPr>
            <w:tcW w:w="2547" w:type="dxa"/>
            <w:vAlign w:val="center"/>
          </w:tcPr>
          <w:p w:rsidR="0051662F" w:rsidRPr="007D48AF" w:rsidRDefault="003B31AF" w:rsidP="0051662F">
            <w:pPr>
              <w:spacing w:before="40" w:after="40" w:line="240" w:lineRule="auto"/>
              <w:ind w:right="889"/>
              <w:jc w:val="right"/>
              <w:rPr>
                <w:lang w:val="fr-FR" w:eastAsia="fr-FR"/>
              </w:rPr>
            </w:pPr>
            <w:r>
              <w:rPr>
                <w:lang w:val="fr-FR" w:eastAsia="fr-FR"/>
              </w:rPr>
              <w:t>-0.</w:t>
            </w:r>
            <w:r w:rsidR="0051662F" w:rsidRPr="007D48AF">
              <w:rPr>
                <w:lang w:val="fr-FR" w:eastAsia="fr-FR"/>
              </w:rPr>
              <w:t>81%</w:t>
            </w:r>
          </w:p>
        </w:tc>
        <w:tc>
          <w:tcPr>
            <w:tcW w:w="2410" w:type="dxa"/>
            <w:vAlign w:val="center"/>
          </w:tcPr>
          <w:p w:rsidR="0051662F" w:rsidRPr="007D48AF" w:rsidRDefault="003B31AF" w:rsidP="0051662F">
            <w:pPr>
              <w:spacing w:before="40" w:after="40" w:line="240" w:lineRule="auto"/>
              <w:ind w:right="606"/>
              <w:jc w:val="right"/>
              <w:rPr>
                <w:rFonts w:eastAsia="Times"/>
                <w:lang w:val="en-GB" w:eastAsia="en-GB"/>
              </w:rPr>
            </w:pPr>
            <w:r>
              <w:rPr>
                <w:rFonts w:eastAsia="Times"/>
                <w:lang w:val="en-GB" w:eastAsia="en-GB"/>
              </w:rPr>
              <w:t>2.</w:t>
            </w:r>
            <w:r w:rsidR="0051662F" w:rsidRPr="007D48AF">
              <w:rPr>
                <w:rFonts w:eastAsia="Times"/>
                <w:lang w:val="en-GB" w:eastAsia="en-GB"/>
              </w:rPr>
              <w:t>09%</w:t>
            </w:r>
          </w:p>
        </w:tc>
      </w:tr>
      <w:tr w:rsidR="0051662F" w:rsidRPr="00BD1FD4" w:rsidTr="0051662F">
        <w:trPr>
          <w:trHeight w:val="265"/>
        </w:trPr>
        <w:tc>
          <w:tcPr>
            <w:tcW w:w="3114" w:type="dxa"/>
            <w:vAlign w:val="center"/>
          </w:tcPr>
          <w:p w:rsidR="0051662F" w:rsidRPr="007D48AF" w:rsidRDefault="003B31AF"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Global market money market</w:t>
            </w:r>
          </w:p>
        </w:tc>
        <w:tc>
          <w:tcPr>
            <w:tcW w:w="2547" w:type="dxa"/>
            <w:vAlign w:val="center"/>
          </w:tcPr>
          <w:p w:rsidR="0051662F" w:rsidRPr="007D48AF" w:rsidRDefault="003B31AF" w:rsidP="0051662F">
            <w:pPr>
              <w:spacing w:before="40" w:after="40" w:line="240" w:lineRule="auto"/>
              <w:ind w:right="889"/>
              <w:jc w:val="right"/>
              <w:rPr>
                <w:lang w:val="fr-FR" w:eastAsia="fr-FR"/>
              </w:rPr>
            </w:pPr>
            <w:r>
              <w:rPr>
                <w:lang w:val="fr-FR" w:eastAsia="fr-FR"/>
              </w:rPr>
              <w:t>-1.</w:t>
            </w:r>
            <w:r w:rsidR="0051662F" w:rsidRPr="007D48AF">
              <w:rPr>
                <w:lang w:val="fr-FR" w:eastAsia="fr-FR"/>
              </w:rPr>
              <w:t>32%</w:t>
            </w:r>
          </w:p>
        </w:tc>
        <w:tc>
          <w:tcPr>
            <w:tcW w:w="2410" w:type="dxa"/>
            <w:vAlign w:val="center"/>
          </w:tcPr>
          <w:p w:rsidR="0051662F" w:rsidRPr="007D48AF" w:rsidRDefault="003B31AF" w:rsidP="0051662F">
            <w:pPr>
              <w:spacing w:before="40" w:after="40" w:line="240" w:lineRule="auto"/>
              <w:ind w:right="606"/>
              <w:jc w:val="right"/>
              <w:rPr>
                <w:rFonts w:eastAsia="Times"/>
                <w:lang w:val="en-GB" w:eastAsia="en-GB"/>
              </w:rPr>
            </w:pPr>
            <w:r>
              <w:rPr>
                <w:rFonts w:eastAsia="Times"/>
                <w:lang w:val="en-GB" w:eastAsia="en-GB"/>
              </w:rPr>
              <w:t>5.</w:t>
            </w:r>
            <w:r w:rsidR="0051662F" w:rsidRPr="007D48AF">
              <w:rPr>
                <w:rFonts w:eastAsia="Times"/>
                <w:lang w:val="en-GB" w:eastAsia="en-GB"/>
              </w:rPr>
              <w:t>01%</w:t>
            </w:r>
          </w:p>
        </w:tc>
      </w:tr>
      <w:tr w:rsidR="0051662F" w:rsidRPr="00BD1FD4" w:rsidTr="0051662F">
        <w:tc>
          <w:tcPr>
            <w:tcW w:w="3114" w:type="dxa"/>
            <w:vAlign w:val="center"/>
          </w:tcPr>
          <w:p w:rsidR="0051662F" w:rsidRPr="007D48AF" w:rsidRDefault="0051662F" w:rsidP="0051662F">
            <w:pPr>
              <w:tabs>
                <w:tab w:val="left" w:pos="2835"/>
                <w:tab w:val="left" w:pos="3119"/>
                <w:tab w:val="left" w:pos="3402"/>
                <w:tab w:val="left" w:pos="3686"/>
              </w:tabs>
              <w:spacing w:before="40" w:after="40" w:line="240" w:lineRule="auto"/>
              <w:ind w:right="175"/>
              <w:jc w:val="left"/>
              <w:rPr>
                <w:lang w:val="fr-FR" w:eastAsia="en-GB"/>
              </w:rPr>
            </w:pPr>
            <w:r w:rsidRPr="007D48AF">
              <w:rPr>
                <w:lang w:val="fr-FR" w:eastAsia="en-GB"/>
              </w:rPr>
              <w:t>EUR</w:t>
            </w:r>
            <w:r w:rsidR="003B31AF">
              <w:rPr>
                <w:lang w:val="fr-FR" w:eastAsia="en-GB"/>
              </w:rPr>
              <w:t>-denominated bonds</w:t>
            </w:r>
          </w:p>
        </w:tc>
        <w:tc>
          <w:tcPr>
            <w:tcW w:w="2547" w:type="dxa"/>
            <w:vAlign w:val="center"/>
          </w:tcPr>
          <w:p w:rsidR="0051662F" w:rsidRPr="007D48AF" w:rsidRDefault="003B31AF" w:rsidP="0051662F">
            <w:pPr>
              <w:spacing w:before="40" w:after="40" w:line="240" w:lineRule="auto"/>
              <w:ind w:right="889"/>
              <w:jc w:val="right"/>
              <w:rPr>
                <w:rFonts w:eastAsia="Times"/>
                <w:lang w:val="en-GB" w:eastAsia="en-GB"/>
              </w:rPr>
            </w:pPr>
            <w:r>
              <w:rPr>
                <w:rFonts w:eastAsia="Times"/>
                <w:lang w:val="en-GB" w:eastAsia="en-GB"/>
              </w:rPr>
              <w:t>0.</w:t>
            </w:r>
            <w:r w:rsidR="0051662F" w:rsidRPr="007D48AF">
              <w:rPr>
                <w:rFonts w:eastAsia="Times"/>
                <w:lang w:val="en-GB" w:eastAsia="en-GB"/>
              </w:rPr>
              <w:t>57%</w:t>
            </w:r>
          </w:p>
        </w:tc>
        <w:tc>
          <w:tcPr>
            <w:tcW w:w="2410" w:type="dxa"/>
            <w:vAlign w:val="center"/>
          </w:tcPr>
          <w:p w:rsidR="0051662F" w:rsidRPr="007D48AF" w:rsidRDefault="003B31AF" w:rsidP="0051662F">
            <w:pPr>
              <w:spacing w:before="40" w:after="40" w:line="240" w:lineRule="auto"/>
              <w:ind w:right="606"/>
              <w:jc w:val="right"/>
              <w:rPr>
                <w:rFonts w:eastAsia="Times"/>
                <w:lang w:val="en-GB" w:eastAsia="en-GB"/>
              </w:rPr>
            </w:pPr>
            <w:r>
              <w:rPr>
                <w:rFonts w:eastAsia="Times"/>
                <w:lang w:val="en-GB" w:eastAsia="en-GB"/>
              </w:rPr>
              <w:t>1.</w:t>
            </w:r>
            <w:r w:rsidR="0051662F" w:rsidRPr="007D48AF">
              <w:rPr>
                <w:rFonts w:eastAsia="Times"/>
                <w:lang w:val="en-GB" w:eastAsia="en-GB"/>
              </w:rPr>
              <w:t>18%</w:t>
            </w:r>
          </w:p>
        </w:tc>
      </w:tr>
      <w:tr w:rsidR="0051662F" w:rsidRPr="00BD1FD4" w:rsidTr="0051662F">
        <w:tc>
          <w:tcPr>
            <w:tcW w:w="3114" w:type="dxa"/>
            <w:vAlign w:val="center"/>
          </w:tcPr>
          <w:p w:rsidR="0051662F" w:rsidRPr="007D48AF" w:rsidRDefault="0051662F" w:rsidP="0051662F">
            <w:pPr>
              <w:tabs>
                <w:tab w:val="left" w:pos="2835"/>
                <w:tab w:val="left" w:pos="3119"/>
                <w:tab w:val="left" w:pos="3402"/>
                <w:tab w:val="left" w:pos="3686"/>
              </w:tabs>
              <w:spacing w:before="40" w:after="40" w:line="240" w:lineRule="auto"/>
              <w:ind w:right="175"/>
              <w:jc w:val="left"/>
              <w:rPr>
                <w:lang w:val="fr-FR" w:eastAsia="en-GB"/>
              </w:rPr>
            </w:pPr>
            <w:r w:rsidRPr="007D48AF">
              <w:rPr>
                <w:lang w:val="fr-FR" w:eastAsia="en-GB"/>
              </w:rPr>
              <w:t>USD</w:t>
            </w:r>
            <w:r w:rsidR="003B31AF">
              <w:rPr>
                <w:lang w:val="fr-FR" w:eastAsia="en-GB"/>
              </w:rPr>
              <w:t>-denominated bonds</w:t>
            </w:r>
          </w:p>
        </w:tc>
        <w:tc>
          <w:tcPr>
            <w:tcW w:w="2547" w:type="dxa"/>
            <w:vAlign w:val="center"/>
          </w:tcPr>
          <w:p w:rsidR="0051662F" w:rsidRPr="007D48AF" w:rsidRDefault="003B31AF" w:rsidP="0051662F">
            <w:pPr>
              <w:spacing w:before="40" w:after="40" w:line="240" w:lineRule="auto"/>
              <w:ind w:right="889"/>
              <w:jc w:val="right"/>
              <w:rPr>
                <w:rFonts w:eastAsia="Times"/>
                <w:lang w:val="en-GB" w:eastAsia="en-GB"/>
              </w:rPr>
            </w:pPr>
            <w:r>
              <w:rPr>
                <w:rFonts w:eastAsia="Times"/>
                <w:lang w:val="en-GB" w:eastAsia="en-GB"/>
              </w:rPr>
              <w:t>0.</w:t>
            </w:r>
            <w:r w:rsidR="0051662F" w:rsidRPr="007D48AF">
              <w:rPr>
                <w:rFonts w:eastAsia="Times"/>
                <w:lang w:val="en-GB" w:eastAsia="en-GB"/>
              </w:rPr>
              <w:t>00%</w:t>
            </w:r>
          </w:p>
        </w:tc>
        <w:tc>
          <w:tcPr>
            <w:tcW w:w="2410" w:type="dxa"/>
            <w:vAlign w:val="center"/>
          </w:tcPr>
          <w:p w:rsidR="0051662F" w:rsidRPr="007D48AF" w:rsidRDefault="003B31AF" w:rsidP="0051662F">
            <w:pPr>
              <w:spacing w:before="40" w:after="40" w:line="240" w:lineRule="auto"/>
              <w:ind w:right="606"/>
              <w:jc w:val="right"/>
              <w:rPr>
                <w:rFonts w:eastAsia="Times"/>
                <w:lang w:val="en-GB" w:eastAsia="en-GB"/>
              </w:rPr>
            </w:pPr>
            <w:r>
              <w:rPr>
                <w:rFonts w:eastAsia="Times"/>
                <w:lang w:val="en-GB" w:eastAsia="en-GB"/>
              </w:rPr>
              <w:t>1.</w:t>
            </w:r>
            <w:r w:rsidR="0051662F" w:rsidRPr="007D48AF">
              <w:rPr>
                <w:rFonts w:eastAsia="Times"/>
                <w:lang w:val="en-GB" w:eastAsia="en-GB"/>
              </w:rPr>
              <w:t>16%</w:t>
            </w:r>
          </w:p>
        </w:tc>
      </w:tr>
      <w:tr w:rsidR="0051662F" w:rsidRPr="00BD1FD4" w:rsidTr="0051662F">
        <w:tc>
          <w:tcPr>
            <w:tcW w:w="3114" w:type="dxa"/>
            <w:vAlign w:val="center"/>
          </w:tcPr>
          <w:p w:rsidR="0051662F" w:rsidRPr="007D48AF" w:rsidRDefault="003B31AF"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Global market bonds</w:t>
            </w:r>
          </w:p>
        </w:tc>
        <w:tc>
          <w:tcPr>
            <w:tcW w:w="2547" w:type="dxa"/>
            <w:vAlign w:val="center"/>
          </w:tcPr>
          <w:p w:rsidR="0051662F" w:rsidRPr="007D48AF" w:rsidRDefault="003B31AF" w:rsidP="0051662F">
            <w:pPr>
              <w:spacing w:before="40" w:after="40" w:line="240" w:lineRule="auto"/>
              <w:ind w:right="889"/>
              <w:jc w:val="right"/>
              <w:rPr>
                <w:rFonts w:eastAsia="Times"/>
                <w:lang w:val="en-GB" w:eastAsia="en-GB"/>
              </w:rPr>
            </w:pPr>
            <w:r>
              <w:rPr>
                <w:rFonts w:eastAsia="Times"/>
                <w:lang w:val="en-GB" w:eastAsia="en-GB"/>
              </w:rPr>
              <w:t>0.</w:t>
            </w:r>
            <w:r w:rsidR="0051662F" w:rsidRPr="007D48AF">
              <w:rPr>
                <w:rFonts w:eastAsia="Times"/>
                <w:lang w:val="en-GB" w:eastAsia="en-GB"/>
              </w:rPr>
              <w:t>28%</w:t>
            </w:r>
          </w:p>
        </w:tc>
        <w:tc>
          <w:tcPr>
            <w:tcW w:w="2410" w:type="dxa"/>
            <w:vAlign w:val="center"/>
          </w:tcPr>
          <w:p w:rsidR="0051662F" w:rsidRPr="007D48AF" w:rsidRDefault="003B31AF" w:rsidP="0051662F">
            <w:pPr>
              <w:tabs>
                <w:tab w:val="left" w:pos="2835"/>
                <w:tab w:val="left" w:pos="3119"/>
                <w:tab w:val="left" w:pos="3402"/>
                <w:tab w:val="left" w:pos="3686"/>
              </w:tabs>
              <w:spacing w:before="40" w:after="40" w:line="240" w:lineRule="auto"/>
              <w:ind w:right="606"/>
              <w:jc w:val="right"/>
              <w:rPr>
                <w:lang w:val="fr-FR" w:eastAsia="en-GB"/>
              </w:rPr>
            </w:pPr>
            <w:r>
              <w:rPr>
                <w:lang w:val="en-GB" w:eastAsia="en-GB"/>
              </w:rPr>
              <w:t>0.</w:t>
            </w:r>
            <w:r w:rsidR="0051662F" w:rsidRPr="007D48AF">
              <w:rPr>
                <w:lang w:val="en-GB" w:eastAsia="en-GB"/>
              </w:rPr>
              <w:t>54%</w:t>
            </w:r>
          </w:p>
        </w:tc>
      </w:tr>
      <w:tr w:rsidR="0051662F" w:rsidRPr="00BD1FD4" w:rsidTr="0051662F">
        <w:tc>
          <w:tcPr>
            <w:tcW w:w="3114" w:type="dxa"/>
            <w:vAlign w:val="center"/>
          </w:tcPr>
          <w:p w:rsidR="0051662F" w:rsidRPr="007D48AF" w:rsidRDefault="003B31AF"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Emerging market bonds</w:t>
            </w:r>
          </w:p>
        </w:tc>
        <w:tc>
          <w:tcPr>
            <w:tcW w:w="2547" w:type="dxa"/>
            <w:vAlign w:val="center"/>
          </w:tcPr>
          <w:p w:rsidR="0051662F" w:rsidRPr="007D48AF" w:rsidRDefault="003B31AF" w:rsidP="0051662F">
            <w:pPr>
              <w:spacing w:before="40" w:after="40" w:line="240" w:lineRule="auto"/>
              <w:ind w:right="889"/>
              <w:jc w:val="right"/>
              <w:rPr>
                <w:lang w:val="fr-FR" w:eastAsia="fr-FR"/>
              </w:rPr>
            </w:pPr>
            <w:r>
              <w:rPr>
                <w:lang w:val="fr-FR" w:eastAsia="fr-FR"/>
              </w:rPr>
              <w:t>0.</w:t>
            </w:r>
            <w:r w:rsidR="0051662F" w:rsidRPr="007D48AF">
              <w:rPr>
                <w:lang w:val="fr-FR" w:eastAsia="fr-FR"/>
              </w:rPr>
              <w:t>53%</w:t>
            </w:r>
          </w:p>
        </w:tc>
        <w:tc>
          <w:tcPr>
            <w:tcW w:w="2410" w:type="dxa"/>
            <w:vAlign w:val="center"/>
          </w:tcPr>
          <w:p w:rsidR="0051662F" w:rsidRPr="007D48AF" w:rsidRDefault="003B31AF" w:rsidP="0051662F">
            <w:pPr>
              <w:spacing w:before="40" w:after="40" w:line="240" w:lineRule="auto"/>
              <w:ind w:right="606"/>
              <w:jc w:val="right"/>
              <w:rPr>
                <w:rFonts w:eastAsia="Times"/>
                <w:lang w:val="en-GB" w:eastAsia="en-GB"/>
              </w:rPr>
            </w:pPr>
            <w:r>
              <w:rPr>
                <w:rFonts w:eastAsia="Times"/>
                <w:lang w:val="en-GB" w:eastAsia="en-GB"/>
              </w:rPr>
              <w:t>1.</w:t>
            </w:r>
            <w:r w:rsidR="0051662F" w:rsidRPr="007D48AF">
              <w:rPr>
                <w:rFonts w:eastAsia="Times"/>
                <w:lang w:val="en-GB" w:eastAsia="en-GB"/>
              </w:rPr>
              <w:t>70%</w:t>
            </w:r>
          </w:p>
        </w:tc>
      </w:tr>
      <w:tr w:rsidR="0051662F" w:rsidRPr="00BD1FD4" w:rsidTr="0051662F">
        <w:tc>
          <w:tcPr>
            <w:tcW w:w="3114" w:type="dxa"/>
            <w:vAlign w:val="center"/>
          </w:tcPr>
          <w:p w:rsidR="0051662F" w:rsidRPr="007D48AF" w:rsidRDefault="003B31AF"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High Yield bonds</w:t>
            </w:r>
          </w:p>
        </w:tc>
        <w:tc>
          <w:tcPr>
            <w:tcW w:w="2547" w:type="dxa"/>
            <w:vAlign w:val="center"/>
          </w:tcPr>
          <w:p w:rsidR="0051662F" w:rsidRPr="007D48AF" w:rsidRDefault="003B31AF" w:rsidP="0051662F">
            <w:pPr>
              <w:spacing w:before="40" w:after="40" w:line="240" w:lineRule="auto"/>
              <w:ind w:right="889"/>
              <w:jc w:val="right"/>
              <w:rPr>
                <w:rFonts w:eastAsia="Times"/>
                <w:lang w:val="en-GB" w:eastAsia="en-GB"/>
              </w:rPr>
            </w:pPr>
            <w:r>
              <w:rPr>
                <w:rFonts w:eastAsia="Times"/>
                <w:lang w:val="en-GB" w:eastAsia="en-GB"/>
              </w:rPr>
              <w:t>-0.</w:t>
            </w:r>
            <w:r w:rsidR="0051662F" w:rsidRPr="007D48AF">
              <w:rPr>
                <w:rFonts w:eastAsia="Times"/>
                <w:lang w:val="en-GB" w:eastAsia="en-GB"/>
              </w:rPr>
              <w:t>63%</w:t>
            </w:r>
          </w:p>
        </w:tc>
        <w:tc>
          <w:tcPr>
            <w:tcW w:w="2410" w:type="dxa"/>
            <w:vAlign w:val="center"/>
          </w:tcPr>
          <w:p w:rsidR="0051662F" w:rsidRPr="007D48AF" w:rsidRDefault="003B31AF" w:rsidP="0051662F">
            <w:pPr>
              <w:spacing w:before="40" w:after="40" w:line="240" w:lineRule="auto"/>
              <w:ind w:right="606"/>
              <w:jc w:val="right"/>
              <w:rPr>
                <w:rFonts w:eastAsia="Times"/>
                <w:lang w:val="en-GB" w:eastAsia="en-GB"/>
              </w:rPr>
            </w:pPr>
            <w:r>
              <w:rPr>
                <w:rFonts w:eastAsia="Times"/>
                <w:lang w:val="en-GB" w:eastAsia="en-GB"/>
              </w:rPr>
              <w:t>0.</w:t>
            </w:r>
            <w:r w:rsidR="0051662F" w:rsidRPr="007D48AF">
              <w:rPr>
                <w:rFonts w:eastAsia="Times"/>
                <w:lang w:val="en-GB" w:eastAsia="en-GB"/>
              </w:rPr>
              <w:t>02%</w:t>
            </w:r>
          </w:p>
        </w:tc>
      </w:tr>
      <w:tr w:rsidR="0051662F" w:rsidRPr="00BD1FD4" w:rsidTr="0051662F">
        <w:tc>
          <w:tcPr>
            <w:tcW w:w="3114" w:type="dxa"/>
            <w:vAlign w:val="center"/>
          </w:tcPr>
          <w:p w:rsidR="0051662F" w:rsidRPr="007D48AF" w:rsidRDefault="003B31AF" w:rsidP="0051662F">
            <w:pPr>
              <w:tabs>
                <w:tab w:val="left" w:pos="2835"/>
                <w:tab w:val="left" w:pos="3119"/>
                <w:tab w:val="left" w:pos="3402"/>
                <w:tab w:val="left" w:pos="3686"/>
              </w:tabs>
              <w:spacing w:before="40" w:after="40" w:line="240" w:lineRule="auto"/>
              <w:ind w:right="175"/>
              <w:jc w:val="left"/>
              <w:rPr>
                <w:lang w:val="fr-FR" w:eastAsia="en-GB"/>
              </w:rPr>
            </w:pPr>
            <w:r>
              <w:rPr>
                <w:lang w:val="fr-FR" w:eastAsia="en-GB"/>
              </w:rPr>
              <w:t>Others</w:t>
            </w:r>
          </w:p>
        </w:tc>
        <w:tc>
          <w:tcPr>
            <w:tcW w:w="2547" w:type="dxa"/>
            <w:vAlign w:val="center"/>
          </w:tcPr>
          <w:p w:rsidR="0051662F" w:rsidRPr="007D48AF" w:rsidRDefault="003B31AF" w:rsidP="0051662F">
            <w:pPr>
              <w:spacing w:before="40" w:after="40" w:line="240" w:lineRule="auto"/>
              <w:ind w:right="889"/>
              <w:jc w:val="right"/>
              <w:rPr>
                <w:rFonts w:eastAsia="Times"/>
                <w:lang w:val="en-GB" w:eastAsia="en-GB"/>
              </w:rPr>
            </w:pPr>
            <w:r>
              <w:rPr>
                <w:rFonts w:eastAsia="Times"/>
                <w:lang w:val="en-GB" w:eastAsia="en-GB"/>
              </w:rPr>
              <w:t>-0.</w:t>
            </w:r>
            <w:r w:rsidR="0051662F" w:rsidRPr="007D48AF">
              <w:rPr>
                <w:rFonts w:eastAsia="Times"/>
                <w:lang w:val="en-GB" w:eastAsia="en-GB"/>
              </w:rPr>
              <w:t>04%</w:t>
            </w:r>
          </w:p>
        </w:tc>
        <w:tc>
          <w:tcPr>
            <w:tcW w:w="2410" w:type="dxa"/>
            <w:vAlign w:val="center"/>
          </w:tcPr>
          <w:p w:rsidR="0051662F" w:rsidRPr="007D48AF" w:rsidRDefault="003B31AF" w:rsidP="0051662F">
            <w:pPr>
              <w:spacing w:before="40" w:after="40" w:line="240" w:lineRule="auto"/>
              <w:ind w:right="606"/>
              <w:jc w:val="right"/>
              <w:rPr>
                <w:rFonts w:eastAsia="Times"/>
                <w:lang w:val="en-GB" w:eastAsia="en-GB"/>
              </w:rPr>
            </w:pPr>
            <w:r>
              <w:rPr>
                <w:rFonts w:eastAsia="Times"/>
                <w:lang w:val="en-GB" w:eastAsia="en-GB"/>
              </w:rPr>
              <w:t>1.</w:t>
            </w:r>
            <w:r w:rsidR="0051662F" w:rsidRPr="007D48AF">
              <w:rPr>
                <w:rFonts w:eastAsia="Times"/>
                <w:lang w:val="en-GB" w:eastAsia="en-GB"/>
              </w:rPr>
              <w:t>49%</w:t>
            </w:r>
          </w:p>
        </w:tc>
      </w:tr>
    </w:tbl>
    <w:p w:rsidR="0051662F" w:rsidRPr="003B31AF" w:rsidRDefault="0051662F" w:rsidP="0051662F">
      <w:pPr>
        <w:pStyle w:val="BlockText"/>
        <w:tabs>
          <w:tab w:val="clear" w:pos="2835"/>
          <w:tab w:val="clear" w:pos="3119"/>
          <w:tab w:val="clear" w:pos="3402"/>
          <w:tab w:val="clear" w:pos="3686"/>
          <w:tab w:val="left" w:pos="2040"/>
        </w:tabs>
        <w:spacing w:before="0"/>
        <w:ind w:left="2040" w:right="1701" w:hanging="2040"/>
        <w:rPr>
          <w:i/>
          <w:sz w:val="14"/>
          <w:szCs w:val="14"/>
          <w:lang w:val="en-US"/>
        </w:rPr>
      </w:pPr>
      <w:r w:rsidRPr="003B31AF">
        <w:rPr>
          <w:i/>
          <w:sz w:val="14"/>
          <w:szCs w:val="14"/>
          <w:lang w:val="en-US"/>
        </w:rPr>
        <w:t xml:space="preserve">* </w:t>
      </w:r>
      <w:r w:rsidR="003B31AF" w:rsidRPr="003B31AF">
        <w:rPr>
          <w:i/>
          <w:sz w:val="14"/>
          <w:szCs w:val="14"/>
          <w:lang w:val="en-US"/>
        </w:rPr>
        <w:t>Variation in % of Net Assets in EUR as compared to the previous month.</w:t>
      </w:r>
    </w:p>
    <w:p w:rsidR="00F274EE" w:rsidRPr="003B31AF" w:rsidRDefault="003B31AF" w:rsidP="00164C73">
      <w:pPr>
        <w:rPr>
          <w:lang w:val="en-US"/>
        </w:rPr>
      </w:pPr>
      <w:r w:rsidRPr="003B31AF">
        <w:rPr>
          <w:lang w:val="en-US"/>
        </w:rPr>
        <w:t>The development of net assets of diversified Luxembourg UCIs and of funds of funds is illustrated in the table below.</w:t>
      </w:r>
    </w:p>
    <w:p w:rsidR="0051662F" w:rsidRPr="003B31AF" w:rsidRDefault="003B31AF" w:rsidP="00734B9C">
      <w:pPr>
        <w:rPr>
          <w:b/>
          <w:color w:val="27537F"/>
          <w:szCs w:val="20"/>
          <w:lang w:val="en-US" w:eastAsia="en-GB"/>
        </w:rPr>
      </w:pPr>
      <w:r w:rsidRPr="003B31AF">
        <w:rPr>
          <w:b/>
          <w:color w:val="27537F"/>
          <w:szCs w:val="20"/>
          <w:lang w:val="en-US" w:eastAsia="en-GB"/>
        </w:rPr>
        <w:t>Devel</w:t>
      </w:r>
      <w:r w:rsidR="0033161F">
        <w:rPr>
          <w:b/>
          <w:color w:val="27537F"/>
          <w:szCs w:val="20"/>
          <w:lang w:val="en-US" w:eastAsia="en-GB"/>
        </w:rPr>
        <w:t>opment of diversified UCIs and F</w:t>
      </w:r>
      <w:r w:rsidRPr="003B31AF">
        <w:rPr>
          <w:b/>
          <w:color w:val="27537F"/>
          <w:szCs w:val="20"/>
          <w:lang w:val="en-US" w:eastAsia="en-GB"/>
        </w:rPr>
        <w:t xml:space="preserve">unds of </w:t>
      </w:r>
      <w:r w:rsidR="0033161F">
        <w:rPr>
          <w:b/>
          <w:color w:val="27537F"/>
          <w:szCs w:val="20"/>
          <w:lang w:val="en-US" w:eastAsia="en-GB"/>
        </w:rPr>
        <w:t>F</w:t>
      </w:r>
      <w:r w:rsidRPr="003B31AF">
        <w:rPr>
          <w:b/>
          <w:color w:val="27537F"/>
          <w:szCs w:val="20"/>
          <w:lang w:val="en-US" w:eastAsia="en-GB"/>
        </w:rPr>
        <w:t>unds during the month of August</w:t>
      </w:r>
      <w:r w:rsidR="0051662F" w:rsidRPr="003B31AF">
        <w:rPr>
          <w:b/>
          <w:color w:val="27537F"/>
          <w:szCs w:val="20"/>
          <w:lang w:val="en-US" w:eastAsia="en-GB"/>
        </w:rPr>
        <w:t xml:space="preserve"> 2017*</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547"/>
        <w:gridCol w:w="2410"/>
      </w:tblGrid>
      <w:tr w:rsidR="0051662F" w:rsidRPr="0051662F" w:rsidTr="0051662F">
        <w:tc>
          <w:tcPr>
            <w:tcW w:w="2835" w:type="dxa"/>
          </w:tcPr>
          <w:p w:rsidR="0051662F" w:rsidRPr="003B31AF" w:rsidRDefault="0051662F" w:rsidP="0051662F">
            <w:pPr>
              <w:pStyle w:val="BlockText"/>
              <w:spacing w:before="40" w:after="40" w:line="240" w:lineRule="auto"/>
              <w:ind w:left="0" w:right="-108"/>
              <w:rPr>
                <w:sz w:val="20"/>
                <w:lang w:val="en-US"/>
              </w:rPr>
            </w:pPr>
          </w:p>
        </w:tc>
        <w:tc>
          <w:tcPr>
            <w:tcW w:w="2547" w:type="dxa"/>
          </w:tcPr>
          <w:p w:rsidR="0051662F" w:rsidRPr="0051662F" w:rsidRDefault="003B31AF" w:rsidP="0051662F">
            <w:pPr>
              <w:pStyle w:val="BlockText"/>
              <w:spacing w:before="40" w:after="40" w:line="240" w:lineRule="auto"/>
              <w:ind w:left="0" w:right="0"/>
              <w:jc w:val="center"/>
              <w:rPr>
                <w:sz w:val="20"/>
                <w:lang w:val="fr-FR"/>
              </w:rPr>
            </w:pPr>
            <w:r>
              <w:rPr>
                <w:sz w:val="20"/>
                <w:lang w:val="fr-FR"/>
              </w:rPr>
              <w:t>Market variation in</w:t>
            </w:r>
            <w:r w:rsidR="0051662F" w:rsidRPr="0051662F">
              <w:rPr>
                <w:sz w:val="20"/>
                <w:lang w:val="fr-FR"/>
              </w:rPr>
              <w:t xml:space="preserve"> %</w:t>
            </w:r>
          </w:p>
        </w:tc>
        <w:tc>
          <w:tcPr>
            <w:tcW w:w="2410" w:type="dxa"/>
          </w:tcPr>
          <w:p w:rsidR="0051662F" w:rsidRPr="0051662F" w:rsidRDefault="003B31AF" w:rsidP="0051662F">
            <w:pPr>
              <w:pStyle w:val="BlockText"/>
              <w:tabs>
                <w:tab w:val="left" w:pos="2870"/>
              </w:tabs>
              <w:spacing w:before="40" w:after="40" w:line="240" w:lineRule="auto"/>
              <w:ind w:left="0" w:right="-108"/>
              <w:jc w:val="center"/>
              <w:rPr>
                <w:sz w:val="20"/>
                <w:lang w:val="fr-FR"/>
              </w:rPr>
            </w:pPr>
            <w:r>
              <w:rPr>
                <w:sz w:val="20"/>
                <w:lang w:val="fr-FR"/>
              </w:rPr>
              <w:t>Net issues in</w:t>
            </w:r>
            <w:r w:rsidR="0051662F" w:rsidRPr="0051662F">
              <w:rPr>
                <w:sz w:val="20"/>
                <w:lang w:val="fr-FR"/>
              </w:rPr>
              <w:t xml:space="preserve"> %</w:t>
            </w:r>
          </w:p>
        </w:tc>
      </w:tr>
      <w:tr w:rsidR="0051662F" w:rsidRPr="0051662F" w:rsidTr="0051662F">
        <w:tc>
          <w:tcPr>
            <w:tcW w:w="2835" w:type="dxa"/>
          </w:tcPr>
          <w:p w:rsidR="0051662F" w:rsidRPr="0051662F" w:rsidRDefault="003B31AF" w:rsidP="0051662F">
            <w:pPr>
              <w:pStyle w:val="BlockText"/>
              <w:spacing w:before="40" w:after="40" w:line="240" w:lineRule="auto"/>
              <w:ind w:left="0" w:right="-108"/>
              <w:rPr>
                <w:sz w:val="20"/>
                <w:lang w:val="fr-FR"/>
              </w:rPr>
            </w:pPr>
            <w:r>
              <w:rPr>
                <w:sz w:val="20"/>
                <w:lang w:val="fr-FR"/>
              </w:rPr>
              <w:t>Diversified UCIs</w:t>
            </w:r>
          </w:p>
        </w:tc>
        <w:tc>
          <w:tcPr>
            <w:tcW w:w="2547" w:type="dxa"/>
            <w:vAlign w:val="bottom"/>
          </w:tcPr>
          <w:p w:rsidR="0051662F" w:rsidRPr="0051662F" w:rsidRDefault="003B31AF" w:rsidP="0051662F">
            <w:pPr>
              <w:pStyle w:val="BlockText"/>
              <w:spacing w:before="40" w:after="40" w:line="240" w:lineRule="auto"/>
              <w:ind w:left="0" w:right="889"/>
              <w:jc w:val="right"/>
              <w:rPr>
                <w:sz w:val="20"/>
                <w:lang w:val="fr-FR"/>
              </w:rPr>
            </w:pPr>
            <w:r>
              <w:rPr>
                <w:sz w:val="20"/>
                <w:lang w:val="fr-FR"/>
              </w:rPr>
              <w:t>-0.</w:t>
            </w:r>
            <w:r w:rsidR="0051662F" w:rsidRPr="0051662F">
              <w:rPr>
                <w:sz w:val="20"/>
                <w:lang w:val="fr-FR"/>
              </w:rPr>
              <w:t>06%</w:t>
            </w:r>
          </w:p>
        </w:tc>
        <w:tc>
          <w:tcPr>
            <w:tcW w:w="2410" w:type="dxa"/>
            <w:vAlign w:val="bottom"/>
          </w:tcPr>
          <w:p w:rsidR="0051662F" w:rsidRPr="0051662F" w:rsidRDefault="003B31AF" w:rsidP="0051662F">
            <w:pPr>
              <w:pStyle w:val="BlockText"/>
              <w:spacing w:before="40" w:after="40" w:line="240" w:lineRule="auto"/>
              <w:ind w:left="0" w:right="601"/>
              <w:jc w:val="right"/>
              <w:rPr>
                <w:sz w:val="20"/>
                <w:lang w:val="fr-FR"/>
              </w:rPr>
            </w:pPr>
            <w:r>
              <w:rPr>
                <w:sz w:val="20"/>
                <w:lang w:val="fr-FR"/>
              </w:rPr>
              <w:t>1.</w:t>
            </w:r>
            <w:r w:rsidR="0051662F" w:rsidRPr="0051662F">
              <w:rPr>
                <w:sz w:val="20"/>
                <w:lang w:val="fr-FR"/>
              </w:rPr>
              <w:t>02%</w:t>
            </w:r>
          </w:p>
        </w:tc>
      </w:tr>
      <w:tr w:rsidR="0051662F" w:rsidRPr="0051662F" w:rsidTr="0051662F">
        <w:tc>
          <w:tcPr>
            <w:tcW w:w="2835" w:type="dxa"/>
          </w:tcPr>
          <w:p w:rsidR="0051662F" w:rsidRPr="0051662F" w:rsidRDefault="003B31AF" w:rsidP="0051662F">
            <w:pPr>
              <w:pStyle w:val="BlockText"/>
              <w:spacing w:before="40" w:after="40" w:line="240" w:lineRule="auto"/>
              <w:ind w:left="0" w:right="175"/>
              <w:rPr>
                <w:sz w:val="20"/>
                <w:lang w:val="fr-FR"/>
              </w:rPr>
            </w:pPr>
            <w:r>
              <w:rPr>
                <w:sz w:val="20"/>
                <w:lang w:val="fr-FR"/>
              </w:rPr>
              <w:t>Funds of Funds</w:t>
            </w:r>
          </w:p>
        </w:tc>
        <w:tc>
          <w:tcPr>
            <w:tcW w:w="2547" w:type="dxa"/>
            <w:vAlign w:val="bottom"/>
          </w:tcPr>
          <w:p w:rsidR="0051662F" w:rsidRPr="0051662F" w:rsidRDefault="003B31AF" w:rsidP="0051662F">
            <w:pPr>
              <w:pStyle w:val="BlockText"/>
              <w:spacing w:before="40" w:after="40" w:line="240" w:lineRule="auto"/>
              <w:ind w:left="0" w:right="889"/>
              <w:jc w:val="right"/>
              <w:rPr>
                <w:sz w:val="20"/>
                <w:lang w:val="fr-FR"/>
              </w:rPr>
            </w:pPr>
            <w:r>
              <w:rPr>
                <w:sz w:val="20"/>
                <w:lang w:val="fr-FR"/>
              </w:rPr>
              <w:t>-0.</w:t>
            </w:r>
            <w:r w:rsidR="0051662F" w:rsidRPr="0051662F">
              <w:rPr>
                <w:sz w:val="20"/>
                <w:lang w:val="fr-FR"/>
              </w:rPr>
              <w:t>15%</w:t>
            </w:r>
          </w:p>
        </w:tc>
        <w:tc>
          <w:tcPr>
            <w:tcW w:w="2410" w:type="dxa"/>
            <w:vAlign w:val="bottom"/>
          </w:tcPr>
          <w:p w:rsidR="0051662F" w:rsidRPr="0051662F" w:rsidRDefault="003B31AF" w:rsidP="0051662F">
            <w:pPr>
              <w:pStyle w:val="BlockText"/>
              <w:spacing w:before="40" w:after="40" w:line="240" w:lineRule="auto"/>
              <w:ind w:left="0" w:right="601"/>
              <w:jc w:val="right"/>
              <w:rPr>
                <w:sz w:val="20"/>
                <w:lang w:val="fr-FR"/>
              </w:rPr>
            </w:pPr>
            <w:r>
              <w:rPr>
                <w:sz w:val="20"/>
                <w:lang w:val="fr-FR"/>
              </w:rPr>
              <w:t>0.</w:t>
            </w:r>
            <w:r w:rsidR="0051662F" w:rsidRPr="0051662F">
              <w:rPr>
                <w:sz w:val="20"/>
                <w:lang w:val="fr-FR"/>
              </w:rPr>
              <w:t>41%</w:t>
            </w:r>
          </w:p>
        </w:tc>
      </w:tr>
    </w:tbl>
    <w:p w:rsidR="0051662F" w:rsidRPr="003B31AF" w:rsidRDefault="0051662F" w:rsidP="0051662F">
      <w:pPr>
        <w:pStyle w:val="BlockText"/>
        <w:tabs>
          <w:tab w:val="clear" w:pos="2835"/>
          <w:tab w:val="clear" w:pos="3119"/>
          <w:tab w:val="clear" w:pos="3402"/>
          <w:tab w:val="clear" w:pos="3686"/>
          <w:tab w:val="left" w:pos="2040"/>
        </w:tabs>
        <w:spacing w:before="0"/>
        <w:ind w:left="2040" w:right="1701" w:hanging="2040"/>
        <w:rPr>
          <w:i/>
          <w:sz w:val="14"/>
          <w:szCs w:val="14"/>
          <w:lang w:val="en-US"/>
        </w:rPr>
      </w:pPr>
      <w:r w:rsidRPr="003B31AF">
        <w:rPr>
          <w:i/>
          <w:sz w:val="14"/>
          <w:szCs w:val="14"/>
          <w:lang w:val="en-US"/>
        </w:rPr>
        <w:t xml:space="preserve">* </w:t>
      </w:r>
      <w:r w:rsidR="003B31AF" w:rsidRPr="003B31AF">
        <w:rPr>
          <w:i/>
          <w:sz w:val="14"/>
          <w:szCs w:val="14"/>
          <w:lang w:val="en-US"/>
        </w:rPr>
        <w:t>Variation in % of Net Assets in EUR as compared to the previous month.</w:t>
      </w:r>
    </w:p>
    <w:p w:rsidR="0051662F" w:rsidRPr="003B31AF" w:rsidRDefault="0051662F" w:rsidP="00F274EE">
      <w:pPr>
        <w:spacing w:before="0" w:after="0"/>
        <w:rPr>
          <w:lang w:val="en-US"/>
        </w:rPr>
      </w:pPr>
    </w:p>
    <w:p w:rsidR="0051662F" w:rsidRPr="00A80C9C" w:rsidRDefault="0051662F" w:rsidP="00F274EE">
      <w:pPr>
        <w:spacing w:before="0"/>
        <w:rPr>
          <w:b/>
          <w:color w:val="1F4E79" w:themeColor="accent1" w:themeShade="80"/>
          <w:lang w:val="en-US" w:eastAsia="en-GB"/>
        </w:rPr>
      </w:pPr>
      <w:r w:rsidRPr="00A80C9C">
        <w:rPr>
          <w:b/>
          <w:color w:val="1F4E79" w:themeColor="accent1" w:themeShade="80"/>
          <w:lang w:val="en-US" w:eastAsia="en-GB"/>
        </w:rPr>
        <w:t xml:space="preserve">II. </w:t>
      </w:r>
      <w:r w:rsidR="00A80C9C" w:rsidRPr="00A80C9C">
        <w:rPr>
          <w:b/>
          <w:color w:val="1F4E79" w:themeColor="accent1" w:themeShade="80"/>
          <w:lang w:val="en-US" w:eastAsia="en-GB"/>
        </w:rPr>
        <w:t>Breakdown of the number and net assets of UCIs</w:t>
      </w:r>
    </w:p>
    <w:tbl>
      <w:tblPr>
        <w:tblW w:w="11504" w:type="dxa"/>
        <w:jc w:val="center"/>
        <w:tblLayout w:type="fixed"/>
        <w:tblCellMar>
          <w:left w:w="57" w:type="dxa"/>
          <w:right w:w="57" w:type="dxa"/>
        </w:tblCellMar>
        <w:tblLook w:val="0000" w:firstRow="0" w:lastRow="0" w:firstColumn="0" w:lastColumn="0" w:noHBand="0" w:noVBand="0"/>
      </w:tblPr>
      <w:tblGrid>
        <w:gridCol w:w="908"/>
        <w:gridCol w:w="850"/>
        <w:gridCol w:w="993"/>
        <w:gridCol w:w="815"/>
        <w:gridCol w:w="851"/>
        <w:gridCol w:w="850"/>
        <w:gridCol w:w="851"/>
        <w:gridCol w:w="850"/>
        <w:gridCol w:w="993"/>
        <w:gridCol w:w="850"/>
        <w:gridCol w:w="851"/>
        <w:gridCol w:w="850"/>
        <w:gridCol w:w="992"/>
      </w:tblGrid>
      <w:tr w:rsidR="0051662F" w:rsidRPr="00BD1FD4" w:rsidTr="00F274EE">
        <w:trPr>
          <w:trHeight w:val="255"/>
          <w:jc w:val="center"/>
        </w:trPr>
        <w:tc>
          <w:tcPr>
            <w:tcW w:w="908" w:type="dxa"/>
            <w:tcBorders>
              <w:right w:val="single" w:sz="4" w:space="0" w:color="auto"/>
            </w:tcBorders>
            <w:noWrap/>
          </w:tcPr>
          <w:p w:rsidR="0051662F" w:rsidRPr="00A80C9C" w:rsidRDefault="0051662F" w:rsidP="0051662F">
            <w:pPr>
              <w:spacing w:after="0" w:line="240" w:lineRule="auto"/>
              <w:jc w:val="left"/>
              <w:rPr>
                <w:rFonts w:eastAsia="MS Mincho"/>
                <w:szCs w:val="20"/>
                <w:lang w:val="en-US" w:eastAsia="ja-JP"/>
              </w:rPr>
            </w:pPr>
            <w:r w:rsidRPr="00A80C9C">
              <w:rPr>
                <w:rFonts w:eastAsia="MS Mincho"/>
                <w:szCs w:val="20"/>
                <w:lang w:val="en-US" w:eastAsia="ja-JP"/>
              </w:rPr>
              <w:t> </w:t>
            </w:r>
          </w:p>
        </w:tc>
        <w:tc>
          <w:tcPr>
            <w:tcW w:w="1843" w:type="dxa"/>
            <w:gridSpan w:val="2"/>
            <w:tcBorders>
              <w:top w:val="single" w:sz="4" w:space="0" w:color="auto"/>
              <w:left w:val="single" w:sz="4" w:space="0" w:color="auto"/>
              <w:bottom w:val="single" w:sz="4" w:space="0" w:color="auto"/>
              <w:right w:val="single" w:sz="4" w:space="0" w:color="auto"/>
            </w:tcBorders>
            <w:noWrap/>
          </w:tcPr>
          <w:p w:rsidR="0051662F" w:rsidRPr="00BD1FD4" w:rsidRDefault="00A80C9C" w:rsidP="0051662F">
            <w:pPr>
              <w:spacing w:after="0" w:line="240" w:lineRule="auto"/>
              <w:jc w:val="center"/>
              <w:rPr>
                <w:rFonts w:eastAsia="MS Mincho"/>
                <w:b/>
                <w:sz w:val="14"/>
                <w:szCs w:val="14"/>
                <w:lang w:val="en-GB" w:eastAsia="ja-JP"/>
              </w:rPr>
            </w:pPr>
            <w:r>
              <w:rPr>
                <w:rFonts w:eastAsia="MS Mincho"/>
                <w:b/>
                <w:sz w:val="14"/>
                <w:szCs w:val="14"/>
                <w:lang w:val="en-GB" w:eastAsia="ja-JP"/>
              </w:rPr>
              <w:t>PART</w:t>
            </w:r>
            <w:r w:rsidR="0033161F">
              <w:rPr>
                <w:rFonts w:eastAsia="MS Mincho"/>
                <w:b/>
                <w:sz w:val="14"/>
                <w:szCs w:val="14"/>
                <w:lang w:val="en-GB" w:eastAsia="ja-JP"/>
              </w:rPr>
              <w:t xml:space="preserve"> </w:t>
            </w:r>
            <w:r>
              <w:rPr>
                <w:rFonts w:eastAsia="MS Mincho"/>
                <w:b/>
                <w:sz w:val="14"/>
                <w:szCs w:val="14"/>
                <w:lang w:val="en-GB" w:eastAsia="ja-JP"/>
              </w:rPr>
              <w:t>I UCITS</w:t>
            </w:r>
          </w:p>
        </w:tc>
        <w:tc>
          <w:tcPr>
            <w:tcW w:w="1666" w:type="dxa"/>
            <w:gridSpan w:val="2"/>
            <w:tcBorders>
              <w:top w:val="single" w:sz="4" w:space="0" w:color="auto"/>
              <w:left w:val="single" w:sz="4" w:space="0" w:color="auto"/>
              <w:bottom w:val="single" w:sz="4" w:space="0" w:color="auto"/>
              <w:right w:val="single" w:sz="4" w:space="0" w:color="auto"/>
            </w:tcBorders>
            <w:noWrap/>
          </w:tcPr>
          <w:p w:rsidR="0051662F" w:rsidRPr="00BD1FD4" w:rsidRDefault="00A80C9C" w:rsidP="0051662F">
            <w:pPr>
              <w:spacing w:after="0" w:line="240" w:lineRule="auto"/>
              <w:jc w:val="center"/>
              <w:rPr>
                <w:rFonts w:eastAsia="MS Mincho"/>
                <w:b/>
                <w:sz w:val="14"/>
                <w:szCs w:val="14"/>
                <w:lang w:val="en-GB" w:eastAsia="ja-JP"/>
              </w:rPr>
            </w:pPr>
            <w:r>
              <w:rPr>
                <w:rFonts w:eastAsia="MS Mincho"/>
                <w:b/>
                <w:sz w:val="14"/>
                <w:szCs w:val="14"/>
                <w:lang w:val="en-GB" w:eastAsia="ja-JP"/>
              </w:rPr>
              <w:t>PART II UCIs</w:t>
            </w:r>
          </w:p>
        </w:tc>
        <w:tc>
          <w:tcPr>
            <w:tcW w:w="1701" w:type="dxa"/>
            <w:gridSpan w:val="2"/>
            <w:tcBorders>
              <w:top w:val="single" w:sz="4" w:space="0" w:color="auto"/>
              <w:left w:val="single" w:sz="4" w:space="0" w:color="auto"/>
              <w:bottom w:val="single" w:sz="4" w:space="0" w:color="auto"/>
              <w:right w:val="single" w:sz="4" w:space="0" w:color="auto"/>
            </w:tcBorders>
          </w:tcPr>
          <w:p w:rsidR="0051662F" w:rsidRPr="00BD1FD4" w:rsidRDefault="00A80C9C" w:rsidP="0051662F">
            <w:pPr>
              <w:spacing w:after="0" w:line="240" w:lineRule="auto"/>
              <w:jc w:val="center"/>
              <w:rPr>
                <w:rFonts w:eastAsia="MS Mincho"/>
                <w:b/>
                <w:sz w:val="14"/>
                <w:szCs w:val="14"/>
                <w:lang w:val="en-GB" w:eastAsia="ja-JP"/>
              </w:rPr>
            </w:pPr>
            <w:r>
              <w:rPr>
                <w:rFonts w:eastAsia="MS Mincho"/>
                <w:b/>
                <w:sz w:val="14"/>
                <w:szCs w:val="14"/>
                <w:lang w:val="en-GB" w:eastAsia="ja-JP"/>
              </w:rPr>
              <w:t>SIFs</w:t>
            </w:r>
          </w:p>
        </w:tc>
        <w:tc>
          <w:tcPr>
            <w:tcW w:w="1843" w:type="dxa"/>
            <w:gridSpan w:val="2"/>
            <w:tcBorders>
              <w:top w:val="single" w:sz="4" w:space="0" w:color="auto"/>
              <w:left w:val="single" w:sz="4" w:space="0" w:color="auto"/>
              <w:bottom w:val="single" w:sz="4" w:space="0" w:color="auto"/>
              <w:right w:val="single" w:sz="4" w:space="0" w:color="auto"/>
            </w:tcBorders>
          </w:tcPr>
          <w:p w:rsidR="0051662F" w:rsidRPr="00BD1FD4" w:rsidRDefault="00A80C9C" w:rsidP="0051662F">
            <w:pPr>
              <w:spacing w:after="0" w:line="240" w:lineRule="auto"/>
              <w:jc w:val="center"/>
              <w:rPr>
                <w:rFonts w:eastAsia="MS Mincho"/>
                <w:b/>
                <w:sz w:val="14"/>
                <w:szCs w:val="14"/>
                <w:lang w:val="fr-FR" w:eastAsia="ja-JP"/>
              </w:rPr>
            </w:pPr>
            <w:r>
              <w:rPr>
                <w:rFonts w:eastAsia="MS Mincho"/>
                <w:b/>
                <w:sz w:val="14"/>
                <w:szCs w:val="14"/>
                <w:lang w:val="fr-FR" w:eastAsia="ja-JP"/>
              </w:rPr>
              <w:t>SUB-TOTAL</w:t>
            </w:r>
            <w:r>
              <w:rPr>
                <w:rFonts w:eastAsia="MS Mincho"/>
                <w:b/>
                <w:sz w:val="14"/>
                <w:szCs w:val="14"/>
                <w:lang w:val="fr-FR" w:eastAsia="ja-JP"/>
              </w:rPr>
              <w:br/>
              <w:t>(without SICARs)</w:t>
            </w:r>
          </w:p>
        </w:tc>
        <w:tc>
          <w:tcPr>
            <w:tcW w:w="1701" w:type="dxa"/>
            <w:gridSpan w:val="2"/>
            <w:tcBorders>
              <w:top w:val="single" w:sz="4" w:space="0" w:color="auto"/>
              <w:left w:val="single" w:sz="4" w:space="0" w:color="auto"/>
              <w:bottom w:val="single" w:sz="4" w:space="0" w:color="auto"/>
              <w:right w:val="single" w:sz="4" w:space="0" w:color="auto"/>
            </w:tcBorders>
          </w:tcPr>
          <w:p w:rsidR="0051662F" w:rsidRPr="00BD1FD4" w:rsidRDefault="0051662F" w:rsidP="0051662F">
            <w:pPr>
              <w:spacing w:after="0" w:line="240" w:lineRule="auto"/>
              <w:jc w:val="center"/>
              <w:rPr>
                <w:rFonts w:eastAsia="MS Mincho"/>
                <w:b/>
                <w:sz w:val="14"/>
                <w:szCs w:val="14"/>
                <w:lang w:val="fr-FR" w:eastAsia="ja-JP"/>
              </w:rPr>
            </w:pPr>
            <w:r w:rsidRPr="00BD1FD4">
              <w:rPr>
                <w:rFonts w:eastAsia="MS Mincho"/>
                <w:b/>
                <w:sz w:val="14"/>
                <w:szCs w:val="14"/>
                <w:lang w:val="fr-FR" w:eastAsia="ja-JP"/>
              </w:rPr>
              <w:t>SICAR</w:t>
            </w:r>
            <w:r w:rsidR="00A80C9C">
              <w:rPr>
                <w:rFonts w:eastAsia="MS Mincho"/>
                <w:b/>
                <w:sz w:val="14"/>
                <w:szCs w:val="14"/>
                <w:lang w:val="fr-FR" w:eastAsia="ja-JP"/>
              </w:rPr>
              <w:t>s</w:t>
            </w:r>
            <w:r w:rsidRPr="00BD1FD4">
              <w:rPr>
                <w:rFonts w:eastAsia="MS Mincho"/>
                <w:b/>
                <w:sz w:val="14"/>
                <w:szCs w:val="14"/>
                <w:vertAlign w:val="superscript"/>
                <w:lang w:val="en-GB" w:eastAsia="ja-JP"/>
              </w:rPr>
              <w:footnoteReference w:id="4"/>
            </w:r>
          </w:p>
        </w:tc>
        <w:tc>
          <w:tcPr>
            <w:tcW w:w="1842" w:type="dxa"/>
            <w:gridSpan w:val="2"/>
            <w:tcBorders>
              <w:top w:val="single" w:sz="4" w:space="0" w:color="auto"/>
              <w:left w:val="single" w:sz="4" w:space="0" w:color="auto"/>
              <w:bottom w:val="single" w:sz="4" w:space="0" w:color="auto"/>
              <w:right w:val="single" w:sz="4" w:space="0" w:color="auto"/>
            </w:tcBorders>
            <w:noWrap/>
          </w:tcPr>
          <w:p w:rsidR="0051662F" w:rsidRPr="00BD1FD4" w:rsidRDefault="0051662F" w:rsidP="0051662F">
            <w:pPr>
              <w:spacing w:after="0" w:line="240" w:lineRule="auto"/>
              <w:jc w:val="center"/>
              <w:rPr>
                <w:rFonts w:eastAsia="MS Mincho"/>
                <w:b/>
                <w:sz w:val="14"/>
                <w:szCs w:val="14"/>
                <w:lang w:val="fr-FR" w:eastAsia="ja-JP"/>
              </w:rPr>
            </w:pPr>
            <w:r w:rsidRPr="00BD1FD4">
              <w:rPr>
                <w:rFonts w:eastAsia="MS Mincho"/>
                <w:b/>
                <w:sz w:val="14"/>
                <w:szCs w:val="14"/>
                <w:lang w:val="fr-FR" w:eastAsia="ja-JP"/>
              </w:rPr>
              <w:t>TOTAL</w:t>
            </w:r>
          </w:p>
        </w:tc>
      </w:tr>
      <w:tr w:rsidR="00A80C9C" w:rsidRPr="00BD1FD4" w:rsidTr="00F274EE">
        <w:trPr>
          <w:trHeight w:val="600"/>
          <w:jc w:val="center"/>
        </w:trPr>
        <w:tc>
          <w:tcPr>
            <w:tcW w:w="908" w:type="dxa"/>
            <w:tcBorders>
              <w:bottom w:val="single" w:sz="4" w:space="0" w:color="auto"/>
              <w:right w:val="single" w:sz="4" w:space="0" w:color="auto"/>
            </w:tcBorders>
            <w:noWrap/>
          </w:tcPr>
          <w:p w:rsidR="00A80C9C" w:rsidRPr="00BD1FD4" w:rsidRDefault="00A80C9C" w:rsidP="00A80C9C">
            <w:pPr>
              <w:spacing w:after="0" w:line="240" w:lineRule="auto"/>
              <w:jc w:val="left"/>
              <w:rPr>
                <w:rFonts w:eastAsia="MS Mincho"/>
                <w:sz w:val="16"/>
                <w:szCs w:val="16"/>
                <w:lang w:val="fr-FR" w:eastAsia="ja-JP"/>
              </w:rPr>
            </w:pPr>
            <w:r w:rsidRPr="00BD1FD4">
              <w:rPr>
                <w:rFonts w:eastAsia="MS Mincho"/>
                <w:sz w:val="16"/>
                <w:szCs w:val="16"/>
                <w:lang w:val="fr-FR" w:eastAsia="ja-JP"/>
              </w:rPr>
              <w:t>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center"/>
              <w:rPr>
                <w:rFonts w:eastAsia="MS Mincho"/>
                <w:b/>
                <w:sz w:val="14"/>
                <w:szCs w:val="14"/>
                <w:lang w:val="fr-FR" w:eastAsia="ja-JP"/>
              </w:rPr>
            </w:pPr>
            <w:r>
              <w:rPr>
                <w:rFonts w:eastAsia="MS Mincho"/>
                <w:b/>
                <w:sz w:val="14"/>
                <w:szCs w:val="14"/>
                <w:lang w:val="fr-FR" w:eastAsia="ja-JP"/>
              </w:rPr>
              <w:t>NUMBER</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before="20" w:after="0" w:line="240" w:lineRule="auto"/>
              <w:jc w:val="center"/>
              <w:rPr>
                <w:rFonts w:eastAsia="MS Mincho"/>
                <w:b/>
                <w:sz w:val="14"/>
                <w:szCs w:val="14"/>
                <w:lang w:val="fr-FR" w:eastAsia="ja-JP"/>
              </w:rPr>
            </w:pPr>
            <w:r>
              <w:rPr>
                <w:rFonts w:eastAsia="MS Mincho"/>
                <w:b/>
                <w:sz w:val="14"/>
                <w:szCs w:val="14"/>
                <w:lang w:val="fr-FR" w:eastAsia="ja-JP"/>
              </w:rPr>
              <w:t>NET ASSETS</w:t>
            </w:r>
            <w:r>
              <w:rPr>
                <w:rFonts w:eastAsia="MS Mincho"/>
                <w:b/>
                <w:sz w:val="14"/>
                <w:szCs w:val="14"/>
                <w:lang w:val="fr-FR" w:eastAsia="ja-JP"/>
              </w:rPr>
              <w:br/>
              <w:t>(in bn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center"/>
              <w:rPr>
                <w:rFonts w:eastAsia="MS Mincho"/>
                <w:b/>
                <w:sz w:val="14"/>
                <w:szCs w:val="14"/>
                <w:lang w:val="fr-FR" w:eastAsia="ja-JP"/>
              </w:rPr>
            </w:pPr>
            <w:r>
              <w:rPr>
                <w:rFonts w:eastAsia="MS Mincho"/>
                <w:b/>
                <w:sz w:val="14"/>
                <w:szCs w:val="14"/>
                <w:lang w:val="fr-FR" w:eastAsia="ja-JP"/>
              </w:rPr>
              <w:t>NUMBER</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before="20" w:after="0" w:line="240" w:lineRule="auto"/>
              <w:jc w:val="center"/>
              <w:rPr>
                <w:rFonts w:eastAsia="MS Mincho"/>
                <w:b/>
                <w:sz w:val="14"/>
                <w:szCs w:val="14"/>
                <w:lang w:val="fr-FR" w:eastAsia="ja-JP"/>
              </w:rPr>
            </w:pPr>
            <w:r>
              <w:rPr>
                <w:rFonts w:eastAsia="MS Mincho"/>
                <w:b/>
                <w:sz w:val="14"/>
                <w:szCs w:val="14"/>
                <w:lang w:val="fr-FR" w:eastAsia="ja-JP"/>
              </w:rPr>
              <w:t>NET ASSETS</w:t>
            </w:r>
            <w:r>
              <w:rPr>
                <w:rFonts w:eastAsia="MS Mincho"/>
                <w:b/>
                <w:sz w:val="14"/>
                <w:szCs w:val="14"/>
                <w:lang w:val="fr-FR" w:eastAsia="ja-JP"/>
              </w:rPr>
              <w:br/>
              <w:t>(in bn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center"/>
              <w:rPr>
                <w:rFonts w:eastAsia="MS Mincho"/>
                <w:b/>
                <w:sz w:val="14"/>
                <w:szCs w:val="14"/>
                <w:lang w:val="fr-FR" w:eastAsia="ja-JP"/>
              </w:rPr>
            </w:pPr>
            <w:r>
              <w:rPr>
                <w:rFonts w:eastAsia="MS Mincho"/>
                <w:b/>
                <w:sz w:val="14"/>
                <w:szCs w:val="14"/>
                <w:lang w:val="fr-FR" w:eastAsia="ja-JP"/>
              </w:rPr>
              <w:t>NUMBER</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before="20" w:after="0" w:line="240" w:lineRule="auto"/>
              <w:jc w:val="center"/>
              <w:rPr>
                <w:rFonts w:eastAsia="MS Mincho"/>
                <w:b/>
                <w:sz w:val="14"/>
                <w:szCs w:val="14"/>
                <w:lang w:val="fr-FR" w:eastAsia="ja-JP"/>
              </w:rPr>
            </w:pPr>
            <w:r>
              <w:rPr>
                <w:rFonts w:eastAsia="MS Mincho"/>
                <w:b/>
                <w:sz w:val="14"/>
                <w:szCs w:val="14"/>
                <w:lang w:val="fr-FR" w:eastAsia="ja-JP"/>
              </w:rPr>
              <w:t>NET ASSETS</w:t>
            </w:r>
            <w:r>
              <w:rPr>
                <w:rFonts w:eastAsia="MS Mincho"/>
                <w:b/>
                <w:sz w:val="14"/>
                <w:szCs w:val="14"/>
                <w:lang w:val="fr-FR" w:eastAsia="ja-JP"/>
              </w:rPr>
              <w:br/>
              <w:t>(in bn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center"/>
              <w:rPr>
                <w:rFonts w:eastAsia="MS Mincho"/>
                <w:b/>
                <w:sz w:val="14"/>
                <w:szCs w:val="14"/>
                <w:lang w:val="fr-FR" w:eastAsia="ja-JP"/>
              </w:rPr>
            </w:pPr>
            <w:r>
              <w:rPr>
                <w:rFonts w:eastAsia="MS Mincho"/>
                <w:b/>
                <w:sz w:val="14"/>
                <w:szCs w:val="14"/>
                <w:lang w:val="fr-FR" w:eastAsia="ja-JP"/>
              </w:rPr>
              <w:t>NUMBER</w:t>
            </w:r>
          </w:p>
        </w:tc>
        <w:tc>
          <w:tcPr>
            <w:tcW w:w="993" w:type="dxa"/>
            <w:tcBorders>
              <w:top w:val="single" w:sz="4" w:space="0" w:color="auto"/>
              <w:left w:val="single" w:sz="4" w:space="0" w:color="auto"/>
              <w:bottom w:val="single" w:sz="4" w:space="0" w:color="auto"/>
              <w:right w:val="single" w:sz="4" w:space="0" w:color="auto"/>
            </w:tcBorders>
            <w:noWrap/>
          </w:tcPr>
          <w:p w:rsidR="00A80C9C" w:rsidRPr="00A80C9C" w:rsidRDefault="00A80C9C" w:rsidP="00A80C9C">
            <w:pPr>
              <w:spacing w:before="20" w:after="0" w:line="240" w:lineRule="auto"/>
              <w:jc w:val="center"/>
              <w:rPr>
                <w:rFonts w:eastAsia="MS Mincho"/>
                <w:b/>
                <w:sz w:val="14"/>
                <w:szCs w:val="14"/>
                <w:lang w:eastAsia="ja-JP"/>
              </w:rPr>
            </w:pPr>
            <w:r>
              <w:rPr>
                <w:rFonts w:eastAsia="MS Mincho"/>
                <w:b/>
                <w:sz w:val="14"/>
                <w:szCs w:val="14"/>
                <w:lang w:val="fr-FR" w:eastAsia="ja-JP"/>
              </w:rPr>
              <w:t>NET ASSETS</w:t>
            </w:r>
            <w:r>
              <w:rPr>
                <w:rFonts w:eastAsia="MS Mincho"/>
                <w:b/>
                <w:sz w:val="14"/>
                <w:szCs w:val="14"/>
                <w:lang w:val="fr-FR" w:eastAsia="ja-JP"/>
              </w:rPr>
              <w:br/>
              <w:t>(in bn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center"/>
              <w:rPr>
                <w:rFonts w:eastAsia="MS Mincho"/>
                <w:b/>
                <w:sz w:val="14"/>
                <w:szCs w:val="14"/>
                <w:lang w:val="fr-FR" w:eastAsia="ja-JP"/>
              </w:rPr>
            </w:pPr>
            <w:r>
              <w:rPr>
                <w:rFonts w:eastAsia="MS Mincho"/>
                <w:b/>
                <w:sz w:val="14"/>
                <w:szCs w:val="14"/>
                <w:lang w:val="fr-FR" w:eastAsia="ja-JP"/>
              </w:rPr>
              <w:t>NUMBER</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before="20" w:after="0" w:line="240" w:lineRule="auto"/>
              <w:jc w:val="center"/>
              <w:rPr>
                <w:rFonts w:eastAsia="MS Mincho"/>
                <w:b/>
                <w:sz w:val="14"/>
                <w:szCs w:val="14"/>
                <w:lang w:val="en-GB" w:eastAsia="ja-JP"/>
              </w:rPr>
            </w:pPr>
            <w:r>
              <w:rPr>
                <w:rFonts w:eastAsia="MS Mincho"/>
                <w:b/>
                <w:sz w:val="14"/>
                <w:szCs w:val="14"/>
                <w:lang w:val="fr-FR" w:eastAsia="ja-JP"/>
              </w:rPr>
              <w:t>NET ASSETS</w:t>
            </w:r>
            <w:r>
              <w:rPr>
                <w:rFonts w:eastAsia="MS Mincho"/>
                <w:b/>
                <w:sz w:val="14"/>
                <w:szCs w:val="14"/>
                <w:lang w:val="fr-FR" w:eastAsia="ja-JP"/>
              </w:rPr>
              <w:br/>
              <w:t>(in bn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center"/>
              <w:rPr>
                <w:rFonts w:eastAsia="MS Mincho"/>
                <w:b/>
                <w:sz w:val="14"/>
                <w:szCs w:val="14"/>
                <w:lang w:val="fr-FR" w:eastAsia="ja-JP"/>
              </w:rPr>
            </w:pPr>
            <w:r>
              <w:rPr>
                <w:rFonts w:eastAsia="MS Mincho"/>
                <w:b/>
                <w:sz w:val="14"/>
                <w:szCs w:val="14"/>
                <w:lang w:val="fr-FR" w:eastAsia="ja-JP"/>
              </w:rPr>
              <w:t>NUMBER</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before="20" w:after="0" w:line="240" w:lineRule="auto"/>
              <w:jc w:val="center"/>
              <w:rPr>
                <w:rFonts w:eastAsia="MS Mincho"/>
                <w:b/>
                <w:sz w:val="14"/>
                <w:szCs w:val="14"/>
                <w:lang w:val="en-GB" w:eastAsia="ja-JP"/>
              </w:rPr>
            </w:pPr>
            <w:r>
              <w:rPr>
                <w:rFonts w:eastAsia="MS Mincho"/>
                <w:b/>
                <w:sz w:val="14"/>
                <w:szCs w:val="14"/>
                <w:lang w:val="fr-FR" w:eastAsia="ja-JP"/>
              </w:rPr>
              <w:t>NET ASSETS</w:t>
            </w:r>
            <w:r>
              <w:rPr>
                <w:rFonts w:eastAsia="MS Mincho"/>
                <w:b/>
                <w:sz w:val="14"/>
                <w:szCs w:val="14"/>
                <w:lang w:val="fr-FR" w:eastAsia="ja-JP"/>
              </w:rPr>
              <w:br/>
              <w:t>(in bn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31/12/2014</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893</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2,578.</w:t>
            </w:r>
            <w:r w:rsidRPr="00BD1FD4">
              <w:rPr>
                <w:rFonts w:eastAsia="MS Mincho"/>
                <w:sz w:val="14"/>
                <w:szCs w:val="14"/>
                <w:lang w:val="en-GB" w:eastAsia="ja-JP"/>
              </w:rPr>
              <w:t>423 €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422</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168.</w:t>
            </w:r>
            <w:r w:rsidRPr="00BD1FD4">
              <w:rPr>
                <w:rFonts w:eastAsia="MS Mincho"/>
                <w:sz w:val="14"/>
                <w:szCs w:val="14"/>
                <w:lang w:val="en-GB" w:eastAsia="ja-JP"/>
              </w:rPr>
              <w:t>915 €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590</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347.</w:t>
            </w:r>
            <w:r w:rsidRPr="00BD1FD4">
              <w:rPr>
                <w:rFonts w:eastAsia="MS Mincho"/>
                <w:sz w:val="14"/>
                <w:szCs w:val="14"/>
                <w:lang w:val="en-GB" w:eastAsia="ja-JP"/>
              </w:rPr>
              <w:t>649 €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905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3,094.</w:t>
            </w:r>
            <w:r w:rsidRPr="00BD1FD4">
              <w:rPr>
                <w:rFonts w:eastAsia="MS Mincho"/>
                <w:sz w:val="14"/>
                <w:szCs w:val="14"/>
                <w:lang w:val="en-GB" w:eastAsia="ja-JP"/>
              </w:rPr>
              <w:t>987 €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Times"/>
                <w:sz w:val="14"/>
                <w:szCs w:val="14"/>
                <w:lang w:val="en-GB" w:eastAsia="en-GB"/>
              </w:rPr>
              <w:t>4,</w:t>
            </w:r>
            <w:r w:rsidRPr="00BD1FD4">
              <w:rPr>
                <w:rFonts w:eastAsia="Times"/>
                <w:sz w:val="14"/>
                <w:szCs w:val="14"/>
                <w:lang w:val="en-GB" w:eastAsia="en-GB"/>
              </w:rPr>
              <w:t>193</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127.</w:t>
            </w:r>
            <w:r w:rsidRPr="00BD1FD4">
              <w:rPr>
                <w:rFonts w:eastAsia="Times"/>
                <w:sz w:val="14"/>
                <w:szCs w:val="14"/>
                <w:lang w:val="en-GB" w:eastAsia="en-GB"/>
              </w:rPr>
              <w:t>719 €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31/01/2015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896</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2,734.</w:t>
            </w:r>
            <w:r w:rsidRPr="00BD1FD4">
              <w:rPr>
                <w:rFonts w:eastAsia="MS Mincho"/>
                <w:sz w:val="14"/>
                <w:szCs w:val="14"/>
                <w:lang w:val="en-GB" w:eastAsia="ja-JP"/>
              </w:rPr>
              <w:t>590 €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412</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178.</w:t>
            </w:r>
            <w:r w:rsidRPr="00BD1FD4">
              <w:rPr>
                <w:rFonts w:eastAsia="MS Mincho"/>
                <w:sz w:val="14"/>
                <w:szCs w:val="14"/>
                <w:lang w:val="en-GB" w:eastAsia="ja-JP"/>
              </w:rPr>
              <w:t xml:space="preserve">286 €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577</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364.</w:t>
            </w:r>
            <w:r w:rsidRPr="00BD1FD4">
              <w:rPr>
                <w:rFonts w:eastAsia="MS Mincho"/>
                <w:sz w:val="14"/>
                <w:szCs w:val="14"/>
                <w:lang w:val="en-GB" w:eastAsia="ja-JP"/>
              </w:rPr>
              <w:t>137 €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885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3,277.</w:t>
            </w:r>
            <w:r w:rsidRPr="00BD1FD4">
              <w:rPr>
                <w:rFonts w:eastAsia="MS Mincho"/>
                <w:sz w:val="14"/>
                <w:szCs w:val="14"/>
                <w:lang w:val="en-GB" w:eastAsia="ja-JP"/>
              </w:rPr>
              <w:t xml:space="preserve">013 €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173</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309.</w:t>
            </w:r>
            <w:r w:rsidRPr="00BD1FD4">
              <w:rPr>
                <w:rFonts w:eastAsia="Times"/>
                <w:sz w:val="14"/>
                <w:szCs w:val="14"/>
                <w:lang w:val="en-GB" w:eastAsia="en-GB"/>
              </w:rPr>
              <w:t>745 €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28/02/2015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896</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2,851.</w:t>
            </w:r>
            <w:r w:rsidRPr="00BD1FD4">
              <w:rPr>
                <w:rFonts w:eastAsia="MS Mincho"/>
                <w:sz w:val="14"/>
                <w:szCs w:val="14"/>
                <w:lang w:val="en-GB" w:eastAsia="ja-JP"/>
              </w:rPr>
              <w:t xml:space="preserve">312 €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409</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181.</w:t>
            </w:r>
            <w:r w:rsidRPr="00BD1FD4">
              <w:rPr>
                <w:rFonts w:eastAsia="MS Mincho"/>
                <w:sz w:val="14"/>
                <w:szCs w:val="14"/>
                <w:lang w:val="en-GB" w:eastAsia="ja-JP"/>
              </w:rPr>
              <w:t>463 €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588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371.</w:t>
            </w:r>
            <w:r w:rsidRPr="00BD1FD4">
              <w:rPr>
                <w:rFonts w:eastAsia="MS Mincho"/>
                <w:sz w:val="14"/>
                <w:szCs w:val="14"/>
                <w:lang w:val="en-GB" w:eastAsia="ja-JP"/>
              </w:rPr>
              <w:t xml:space="preserve">091 €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893</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3,403.</w:t>
            </w:r>
            <w:r w:rsidRPr="00BD1FD4">
              <w:rPr>
                <w:rFonts w:eastAsia="MS Mincho"/>
                <w:sz w:val="14"/>
                <w:szCs w:val="14"/>
                <w:lang w:val="en-GB" w:eastAsia="ja-JP"/>
              </w:rPr>
              <w:t xml:space="preserve">866 €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181</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436.</w:t>
            </w:r>
            <w:r w:rsidRPr="00BD1FD4">
              <w:rPr>
                <w:rFonts w:eastAsia="Times"/>
                <w:sz w:val="14"/>
                <w:szCs w:val="14"/>
                <w:lang w:val="en-GB" w:eastAsia="en-GB"/>
              </w:rPr>
              <w:t>598 €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31/03/2015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891</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w:t>
            </w:r>
            <w:r>
              <w:rPr>
                <w:rFonts w:eastAsia="MS Mincho"/>
                <w:sz w:val="14"/>
                <w:szCs w:val="14"/>
                <w:lang w:val="en-GB" w:eastAsia="ja-JP"/>
              </w:rPr>
              <w:t>,955.</w:t>
            </w:r>
            <w:r w:rsidRPr="00BD1FD4">
              <w:rPr>
                <w:rFonts w:eastAsia="MS Mincho"/>
                <w:sz w:val="14"/>
                <w:szCs w:val="14"/>
                <w:lang w:val="en-GB" w:eastAsia="ja-JP"/>
              </w:rPr>
              <w:t xml:space="preserve">916 €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405</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186.</w:t>
            </w:r>
            <w:r w:rsidRPr="00BD1FD4">
              <w:rPr>
                <w:rFonts w:eastAsia="MS Mincho"/>
                <w:sz w:val="14"/>
                <w:szCs w:val="14"/>
                <w:lang w:val="en-GB" w:eastAsia="ja-JP"/>
              </w:rPr>
              <w:t xml:space="preserve">664 €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 xml:space="preserve">592 </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382.</w:t>
            </w:r>
            <w:r w:rsidRPr="00BD1FD4">
              <w:rPr>
                <w:rFonts w:eastAsia="MS Mincho"/>
                <w:sz w:val="14"/>
                <w:szCs w:val="14"/>
                <w:lang w:val="en-GB" w:eastAsia="ja-JP"/>
              </w:rPr>
              <w:t xml:space="preserve">213 €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888</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3,524.</w:t>
            </w:r>
            <w:r w:rsidRPr="00BD1FD4">
              <w:rPr>
                <w:rFonts w:eastAsia="MS Mincho"/>
                <w:sz w:val="14"/>
                <w:szCs w:val="14"/>
                <w:lang w:val="en-GB" w:eastAsia="ja-JP"/>
              </w:rPr>
              <w:t>793 €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176</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557.</w:t>
            </w:r>
            <w:r w:rsidRPr="00BD1FD4">
              <w:rPr>
                <w:rFonts w:eastAsia="Times"/>
                <w:sz w:val="14"/>
                <w:szCs w:val="14"/>
                <w:lang w:val="en-GB" w:eastAsia="en-GB"/>
              </w:rPr>
              <w:t>525 €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30/04/2015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2,970.</w:t>
            </w:r>
            <w:r w:rsidRPr="00BD1FD4">
              <w:rPr>
                <w:rFonts w:eastAsia="MS Mincho"/>
                <w:sz w:val="14"/>
                <w:szCs w:val="14"/>
                <w:lang w:val="en-GB" w:eastAsia="ja-JP"/>
              </w:rPr>
              <w:t>878 €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403</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185.</w:t>
            </w:r>
            <w:r w:rsidRPr="00BD1FD4">
              <w:rPr>
                <w:rFonts w:eastAsia="MS Mincho"/>
                <w:sz w:val="14"/>
                <w:szCs w:val="14"/>
                <w:lang w:val="en-GB" w:eastAsia="ja-JP"/>
              </w:rPr>
              <w:t>177 €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596</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382.</w:t>
            </w:r>
            <w:r w:rsidRPr="00BD1FD4">
              <w:rPr>
                <w:rFonts w:eastAsia="MS Mincho"/>
                <w:sz w:val="14"/>
                <w:szCs w:val="14"/>
                <w:lang w:val="en-GB" w:eastAsia="ja-JP"/>
              </w:rPr>
              <w:t>531 €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894</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3,538.</w:t>
            </w:r>
            <w:r w:rsidRPr="00BD1FD4">
              <w:rPr>
                <w:rFonts w:eastAsia="MS Mincho"/>
                <w:sz w:val="14"/>
                <w:szCs w:val="14"/>
                <w:lang w:val="en-GB" w:eastAsia="ja-JP"/>
              </w:rPr>
              <w:t>586 €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182</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571.</w:t>
            </w:r>
            <w:r w:rsidRPr="00BD1FD4">
              <w:rPr>
                <w:rFonts w:eastAsia="Times"/>
                <w:sz w:val="14"/>
                <w:szCs w:val="14"/>
                <w:lang w:val="en-GB" w:eastAsia="en-GB"/>
              </w:rPr>
              <w:t>318 €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31/05/2015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900</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3,027.</w:t>
            </w:r>
            <w:r w:rsidRPr="00BD1FD4">
              <w:rPr>
                <w:rFonts w:eastAsia="MS Mincho"/>
                <w:sz w:val="14"/>
                <w:szCs w:val="14"/>
                <w:lang w:val="en-GB" w:eastAsia="ja-JP"/>
              </w:rPr>
              <w:t>262 €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401</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187.</w:t>
            </w:r>
            <w:r w:rsidRPr="00BD1FD4">
              <w:rPr>
                <w:rFonts w:eastAsia="MS Mincho"/>
                <w:sz w:val="14"/>
                <w:szCs w:val="14"/>
                <w:lang w:val="en-GB" w:eastAsia="ja-JP"/>
              </w:rPr>
              <w:t>084 €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600</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387</w:t>
            </w:r>
            <w:r>
              <w:rPr>
                <w:rFonts w:eastAsia="MS Mincho"/>
                <w:sz w:val="14"/>
                <w:szCs w:val="14"/>
                <w:lang w:val="en-GB" w:eastAsia="ja-JP"/>
              </w:rPr>
              <w:t>.</w:t>
            </w:r>
            <w:r w:rsidRPr="00BD1FD4">
              <w:rPr>
                <w:rFonts w:eastAsia="MS Mincho"/>
                <w:sz w:val="14"/>
                <w:szCs w:val="14"/>
                <w:lang w:val="en-GB" w:eastAsia="ja-JP"/>
              </w:rPr>
              <w:t>179 €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901</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3,601.</w:t>
            </w:r>
            <w:r w:rsidRPr="00BD1FD4">
              <w:rPr>
                <w:rFonts w:eastAsia="MS Mincho"/>
                <w:sz w:val="14"/>
                <w:szCs w:val="14"/>
                <w:lang w:val="en-GB" w:eastAsia="ja-JP"/>
              </w:rPr>
              <w:t>525 €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189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634.</w:t>
            </w:r>
            <w:r w:rsidRPr="00BD1FD4">
              <w:rPr>
                <w:rFonts w:eastAsia="Times"/>
                <w:sz w:val="14"/>
                <w:szCs w:val="14"/>
                <w:lang w:val="en-GB" w:eastAsia="en-GB"/>
              </w:rPr>
              <w:t>257 €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30/06/2015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903</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2,962.</w:t>
            </w:r>
            <w:r w:rsidRPr="00BD1FD4">
              <w:rPr>
                <w:rFonts w:eastAsia="MS Mincho"/>
                <w:sz w:val="14"/>
                <w:szCs w:val="14"/>
                <w:lang w:val="en-GB" w:eastAsia="ja-JP"/>
              </w:rPr>
              <w:t>778 €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399</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182.</w:t>
            </w:r>
            <w:r w:rsidRPr="00BD1FD4">
              <w:rPr>
                <w:rFonts w:eastAsia="MS Mincho"/>
                <w:sz w:val="14"/>
                <w:szCs w:val="14"/>
                <w:lang w:val="en-GB" w:eastAsia="ja-JP"/>
              </w:rPr>
              <w:t>163 €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 xml:space="preserve">599 </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383.</w:t>
            </w:r>
            <w:r w:rsidRPr="00BD1FD4">
              <w:rPr>
                <w:rFonts w:eastAsia="MS Mincho"/>
                <w:sz w:val="14"/>
                <w:szCs w:val="14"/>
                <w:lang w:val="en-GB" w:eastAsia="ja-JP"/>
              </w:rPr>
              <w:t>190 €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 xml:space="preserve">901 </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3,528.</w:t>
            </w:r>
            <w:r w:rsidRPr="00BD1FD4">
              <w:rPr>
                <w:rFonts w:eastAsia="MS Mincho"/>
                <w:sz w:val="14"/>
                <w:szCs w:val="14"/>
                <w:lang w:val="en-GB" w:eastAsia="ja-JP"/>
              </w:rPr>
              <w:t>131 €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189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560.</w:t>
            </w:r>
            <w:r w:rsidRPr="00BD1FD4">
              <w:rPr>
                <w:rFonts w:eastAsia="Times"/>
                <w:sz w:val="14"/>
                <w:szCs w:val="14"/>
                <w:lang w:val="en-GB" w:eastAsia="en-GB"/>
              </w:rPr>
              <w:t>863 €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31/07/2015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901</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3,015.</w:t>
            </w:r>
            <w:r w:rsidRPr="00BD1FD4">
              <w:rPr>
                <w:rFonts w:eastAsia="MS Mincho"/>
                <w:sz w:val="14"/>
                <w:szCs w:val="14"/>
                <w:lang w:val="en-GB" w:eastAsia="ja-JP"/>
              </w:rPr>
              <w:t>582 €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392</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181.</w:t>
            </w:r>
            <w:r w:rsidRPr="00BD1FD4">
              <w:rPr>
                <w:rFonts w:eastAsia="MS Mincho"/>
                <w:sz w:val="14"/>
                <w:szCs w:val="14"/>
                <w:lang w:val="en-GB" w:eastAsia="ja-JP"/>
              </w:rPr>
              <w:t>228 €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602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386.</w:t>
            </w:r>
            <w:r w:rsidRPr="00BD1FD4">
              <w:rPr>
                <w:rFonts w:eastAsia="MS Mincho"/>
                <w:sz w:val="14"/>
                <w:szCs w:val="14"/>
                <w:lang w:val="en-GB" w:eastAsia="ja-JP"/>
              </w:rPr>
              <w:t>300 €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3,583.</w:t>
            </w:r>
            <w:r w:rsidRPr="00BD1FD4">
              <w:rPr>
                <w:rFonts w:eastAsia="MS Mincho"/>
                <w:sz w:val="14"/>
                <w:szCs w:val="14"/>
                <w:lang w:val="en-GB" w:eastAsia="ja-JP"/>
              </w:rPr>
              <w:t>110 €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183</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615.</w:t>
            </w:r>
            <w:r w:rsidRPr="00BD1FD4">
              <w:rPr>
                <w:rFonts w:eastAsia="Times"/>
                <w:sz w:val="14"/>
                <w:szCs w:val="14"/>
                <w:lang w:val="en-GB" w:eastAsia="en-GB"/>
              </w:rPr>
              <w:t>842 €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31/08/2015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899</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2,871.</w:t>
            </w:r>
            <w:r w:rsidRPr="00BD1FD4">
              <w:rPr>
                <w:rFonts w:eastAsia="MS Mincho"/>
                <w:sz w:val="14"/>
                <w:szCs w:val="14"/>
                <w:lang w:val="en-GB" w:eastAsia="ja-JP"/>
              </w:rPr>
              <w:t>083 €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391</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173.</w:t>
            </w:r>
            <w:r w:rsidRPr="00BD1FD4">
              <w:rPr>
                <w:rFonts w:eastAsia="MS Mincho"/>
                <w:sz w:val="14"/>
                <w:szCs w:val="14"/>
                <w:lang w:val="en-GB" w:eastAsia="ja-JP"/>
              </w:rPr>
              <w:t>038 €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 xml:space="preserve">601 </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378.</w:t>
            </w:r>
            <w:r w:rsidRPr="00BD1FD4">
              <w:rPr>
                <w:rFonts w:eastAsia="MS Mincho"/>
                <w:sz w:val="14"/>
                <w:szCs w:val="14"/>
                <w:lang w:val="en-GB" w:eastAsia="ja-JP"/>
              </w:rPr>
              <w:t>866 €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891</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3,422.</w:t>
            </w:r>
            <w:r w:rsidRPr="00BD1FD4">
              <w:rPr>
                <w:rFonts w:eastAsia="MS Mincho"/>
                <w:sz w:val="14"/>
                <w:szCs w:val="14"/>
                <w:lang w:val="en-GB" w:eastAsia="ja-JP"/>
              </w:rPr>
              <w:t>987 €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179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455.</w:t>
            </w:r>
            <w:r w:rsidRPr="00BD1FD4">
              <w:rPr>
                <w:rFonts w:eastAsia="Times"/>
                <w:sz w:val="14"/>
                <w:szCs w:val="14"/>
                <w:lang w:val="en-GB" w:eastAsia="en-GB"/>
              </w:rPr>
              <w:t>719 €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30/09/2015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900</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2,820.</w:t>
            </w:r>
            <w:r w:rsidRPr="00BD1FD4">
              <w:rPr>
                <w:rFonts w:eastAsia="MS Mincho"/>
                <w:sz w:val="14"/>
                <w:szCs w:val="14"/>
                <w:lang w:val="en-GB" w:eastAsia="ja-JP"/>
              </w:rPr>
              <w:t>370 €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391</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169.</w:t>
            </w:r>
            <w:r w:rsidRPr="00BD1FD4">
              <w:rPr>
                <w:rFonts w:eastAsia="MS Mincho"/>
                <w:sz w:val="14"/>
                <w:szCs w:val="14"/>
                <w:lang w:val="en-GB" w:eastAsia="ja-JP"/>
              </w:rPr>
              <w:t>729 €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 xml:space="preserve">603 </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376.</w:t>
            </w:r>
            <w:r w:rsidRPr="00BD1FD4">
              <w:rPr>
                <w:rFonts w:eastAsia="MS Mincho"/>
                <w:sz w:val="14"/>
                <w:szCs w:val="14"/>
                <w:lang w:val="en-GB" w:eastAsia="ja-JP"/>
              </w:rPr>
              <w:t>727 €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894</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3,366.</w:t>
            </w:r>
            <w:r w:rsidRPr="00BD1FD4">
              <w:rPr>
                <w:rFonts w:eastAsia="MS Mincho"/>
                <w:sz w:val="14"/>
                <w:szCs w:val="14"/>
                <w:lang w:val="en-GB" w:eastAsia="ja-JP"/>
              </w:rPr>
              <w:t>826 €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182</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399.</w:t>
            </w:r>
            <w:r w:rsidRPr="00BD1FD4">
              <w:rPr>
                <w:rFonts w:eastAsia="Times"/>
                <w:sz w:val="14"/>
                <w:szCs w:val="14"/>
                <w:lang w:val="en-GB" w:eastAsia="en-GB"/>
              </w:rPr>
              <w:t>558 €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31/10/2015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903</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2,952.</w:t>
            </w:r>
            <w:r w:rsidRPr="00BD1FD4">
              <w:rPr>
                <w:rFonts w:eastAsia="MS Mincho"/>
                <w:sz w:val="14"/>
                <w:szCs w:val="14"/>
                <w:lang w:val="en-GB" w:eastAsia="ja-JP"/>
              </w:rPr>
              <w:t>296 €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391</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173.</w:t>
            </w:r>
            <w:r w:rsidRPr="00BD1FD4">
              <w:rPr>
                <w:rFonts w:eastAsia="MS Mincho"/>
                <w:sz w:val="14"/>
                <w:szCs w:val="14"/>
                <w:lang w:val="en-GB" w:eastAsia="ja-JP"/>
              </w:rPr>
              <w:t>421 €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607</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387.</w:t>
            </w:r>
            <w:r w:rsidRPr="00BD1FD4">
              <w:rPr>
                <w:rFonts w:eastAsia="MS Mincho"/>
                <w:sz w:val="14"/>
                <w:szCs w:val="14"/>
                <w:lang w:val="en-GB" w:eastAsia="ja-JP"/>
              </w:rPr>
              <w:t>676 €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901</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3,513.</w:t>
            </w:r>
            <w:r w:rsidRPr="00BD1FD4">
              <w:rPr>
                <w:rFonts w:eastAsia="MS Mincho"/>
                <w:sz w:val="14"/>
                <w:szCs w:val="14"/>
                <w:lang w:val="en-GB" w:eastAsia="ja-JP"/>
              </w:rPr>
              <w:t>393 €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189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546.</w:t>
            </w:r>
            <w:r w:rsidRPr="00BD1FD4">
              <w:rPr>
                <w:rFonts w:eastAsia="Times"/>
                <w:sz w:val="14"/>
                <w:szCs w:val="14"/>
                <w:lang w:val="en-GB" w:eastAsia="en-GB"/>
              </w:rPr>
              <w:t>125 €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30/11/2015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3,019.</w:t>
            </w:r>
            <w:r w:rsidRPr="00BD1FD4">
              <w:rPr>
                <w:rFonts w:eastAsia="MS Mincho"/>
                <w:sz w:val="14"/>
                <w:szCs w:val="14"/>
                <w:lang w:val="en-GB" w:eastAsia="ja-JP"/>
              </w:rPr>
              <w:t>572 €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386</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175.</w:t>
            </w:r>
            <w:r w:rsidRPr="00BD1FD4">
              <w:rPr>
                <w:rFonts w:eastAsia="MS Mincho"/>
                <w:sz w:val="14"/>
                <w:szCs w:val="14"/>
                <w:lang w:val="en-GB" w:eastAsia="ja-JP"/>
              </w:rPr>
              <w:t>406 €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613</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394.</w:t>
            </w:r>
            <w:r w:rsidRPr="00BD1FD4">
              <w:rPr>
                <w:rFonts w:eastAsia="MS Mincho"/>
                <w:sz w:val="14"/>
                <w:szCs w:val="14"/>
                <w:lang w:val="en-GB" w:eastAsia="ja-JP"/>
              </w:rPr>
              <w:t>693 €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894</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3,589.</w:t>
            </w:r>
            <w:r w:rsidRPr="00BD1FD4">
              <w:rPr>
                <w:rFonts w:eastAsia="MS Mincho"/>
                <w:sz w:val="14"/>
                <w:szCs w:val="14"/>
                <w:lang w:val="en-GB" w:eastAsia="ja-JP"/>
              </w:rPr>
              <w:t>671 €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32.</w:t>
            </w:r>
            <w:r w:rsidRPr="00BD1FD4">
              <w:rPr>
                <w:rFonts w:eastAsia="MS Mincho"/>
                <w:sz w:val="14"/>
                <w:szCs w:val="14"/>
                <w:lang w:val="en-GB" w:eastAsia="ja-JP"/>
              </w:rPr>
              <w:t>732 €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182</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622.</w:t>
            </w:r>
            <w:r w:rsidRPr="00BD1FD4">
              <w:rPr>
                <w:rFonts w:eastAsia="Times"/>
                <w:sz w:val="14"/>
                <w:szCs w:val="14"/>
                <w:lang w:val="en-GB" w:eastAsia="en-GB"/>
              </w:rPr>
              <w:t>403 €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31/12/2015</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892</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2,946.</w:t>
            </w:r>
            <w:r w:rsidRPr="00BD1FD4">
              <w:rPr>
                <w:rFonts w:eastAsia="MS Mincho"/>
                <w:sz w:val="14"/>
                <w:szCs w:val="14"/>
                <w:lang w:val="en-GB" w:eastAsia="ja-JP"/>
              </w:rPr>
              <w:t>860 €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384</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169.</w:t>
            </w:r>
            <w:r w:rsidRPr="00BD1FD4">
              <w:rPr>
                <w:rFonts w:eastAsia="MS Mincho"/>
                <w:sz w:val="14"/>
                <w:szCs w:val="14"/>
                <w:lang w:val="en-GB" w:eastAsia="ja-JP"/>
              </w:rPr>
              <w:t>896 €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602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389.</w:t>
            </w:r>
            <w:r w:rsidRPr="00BD1FD4">
              <w:rPr>
                <w:rFonts w:eastAsia="MS Mincho"/>
                <w:sz w:val="14"/>
                <w:szCs w:val="14"/>
                <w:lang w:val="en-GB" w:eastAsia="ja-JP"/>
              </w:rPr>
              <w:t>445 €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878</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3,506.</w:t>
            </w:r>
            <w:r w:rsidRPr="00BD1FD4">
              <w:rPr>
                <w:rFonts w:eastAsia="MS Mincho"/>
                <w:sz w:val="14"/>
                <w:szCs w:val="14"/>
                <w:lang w:val="en-GB" w:eastAsia="ja-JP"/>
              </w:rPr>
              <w:t>201 €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Times"/>
                <w:sz w:val="14"/>
                <w:szCs w:val="14"/>
                <w:lang w:val="en-GB" w:eastAsia="en-GB"/>
              </w:rPr>
              <w:t>4,</w:t>
            </w:r>
            <w:r w:rsidRPr="00BD1FD4">
              <w:rPr>
                <w:rFonts w:eastAsia="Times"/>
                <w:sz w:val="14"/>
                <w:szCs w:val="14"/>
                <w:lang w:val="en-GB" w:eastAsia="en-GB"/>
              </w:rPr>
              <w:t>160</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543.</w:t>
            </w:r>
            <w:r w:rsidRPr="00BD1FD4">
              <w:rPr>
                <w:rFonts w:eastAsia="Times"/>
                <w:sz w:val="14"/>
                <w:szCs w:val="14"/>
                <w:lang w:val="en-GB" w:eastAsia="en-GB"/>
              </w:rPr>
              <w:t>631 €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31/01/2016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903</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2,819.</w:t>
            </w:r>
            <w:r w:rsidRPr="00BD1FD4">
              <w:rPr>
                <w:rFonts w:eastAsia="MS Mincho"/>
                <w:sz w:val="14"/>
                <w:szCs w:val="14"/>
                <w:lang w:val="en-GB" w:eastAsia="ja-JP"/>
              </w:rPr>
              <w:t>861 €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378</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164.</w:t>
            </w:r>
            <w:r w:rsidRPr="00BD1FD4">
              <w:rPr>
                <w:rFonts w:eastAsia="MS Mincho"/>
                <w:sz w:val="14"/>
                <w:szCs w:val="14"/>
                <w:lang w:val="en-GB" w:eastAsia="ja-JP"/>
              </w:rPr>
              <w:t>531 €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596</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386.</w:t>
            </w:r>
            <w:r w:rsidRPr="00BD1FD4">
              <w:rPr>
                <w:rFonts w:eastAsia="MS Mincho"/>
                <w:sz w:val="14"/>
                <w:szCs w:val="14"/>
                <w:lang w:val="en-GB" w:eastAsia="ja-JP"/>
              </w:rPr>
              <w:t>607 €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877</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3,370.</w:t>
            </w:r>
            <w:r w:rsidRPr="00BD1FD4">
              <w:rPr>
                <w:rFonts w:eastAsia="MS Mincho"/>
                <w:sz w:val="14"/>
                <w:szCs w:val="14"/>
                <w:lang w:val="en-GB" w:eastAsia="ja-JP"/>
              </w:rPr>
              <w:t>999 €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159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408.</w:t>
            </w:r>
            <w:r w:rsidRPr="00BD1FD4">
              <w:rPr>
                <w:rFonts w:eastAsia="Times"/>
                <w:sz w:val="14"/>
                <w:szCs w:val="14"/>
                <w:lang w:val="en-GB" w:eastAsia="en-GB"/>
              </w:rPr>
              <w:t>429 €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29/02/2016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904</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2,813.</w:t>
            </w:r>
            <w:r w:rsidRPr="00BD1FD4">
              <w:rPr>
                <w:rFonts w:eastAsia="MS Mincho"/>
                <w:sz w:val="14"/>
                <w:szCs w:val="14"/>
                <w:lang w:val="en-GB" w:eastAsia="ja-JP"/>
              </w:rPr>
              <w:t>421 €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373</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157.</w:t>
            </w:r>
            <w:r w:rsidRPr="00BD1FD4">
              <w:rPr>
                <w:rFonts w:eastAsia="MS Mincho"/>
                <w:sz w:val="14"/>
                <w:szCs w:val="14"/>
                <w:lang w:val="en-GB" w:eastAsia="ja-JP"/>
              </w:rPr>
              <w:t>278 €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592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387.</w:t>
            </w:r>
            <w:r w:rsidRPr="00BD1FD4">
              <w:rPr>
                <w:rFonts w:eastAsia="MS Mincho"/>
                <w:sz w:val="14"/>
                <w:szCs w:val="14"/>
                <w:lang w:val="en-GB" w:eastAsia="ja-JP"/>
              </w:rPr>
              <w:t>785 €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869</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3,358.</w:t>
            </w:r>
            <w:r w:rsidRPr="00BD1FD4">
              <w:rPr>
                <w:rFonts w:eastAsia="MS Mincho"/>
                <w:sz w:val="14"/>
                <w:szCs w:val="14"/>
                <w:lang w:val="en-GB" w:eastAsia="ja-JP"/>
              </w:rPr>
              <w:t>484 €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sidRPr="00BD1FD4">
              <w:rPr>
                <w:rFonts w:eastAsia="Times"/>
                <w:sz w:val="14"/>
                <w:szCs w:val="14"/>
                <w:lang w:val="en-GB" w:eastAsia="en-GB"/>
              </w:rPr>
              <w:t>4</w:t>
            </w:r>
            <w:r>
              <w:rPr>
                <w:rFonts w:eastAsia="Times"/>
                <w:sz w:val="14"/>
                <w:szCs w:val="14"/>
                <w:lang w:val="en-GB" w:eastAsia="en-GB"/>
              </w:rPr>
              <w:t>,</w:t>
            </w:r>
            <w:r w:rsidRPr="00BD1FD4">
              <w:rPr>
                <w:rFonts w:eastAsia="Times"/>
                <w:sz w:val="14"/>
                <w:szCs w:val="14"/>
                <w:lang w:val="en-GB" w:eastAsia="en-GB"/>
              </w:rPr>
              <w:t>151</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395.</w:t>
            </w:r>
            <w:r w:rsidRPr="00BD1FD4">
              <w:rPr>
                <w:rFonts w:eastAsia="Times"/>
                <w:sz w:val="14"/>
                <w:szCs w:val="14"/>
                <w:lang w:val="en-GB" w:eastAsia="en-GB"/>
              </w:rPr>
              <w:t>914 €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31/03/2016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2,847.</w:t>
            </w:r>
            <w:r w:rsidRPr="00BD1FD4">
              <w:rPr>
                <w:rFonts w:eastAsia="MS Mincho"/>
                <w:sz w:val="14"/>
                <w:szCs w:val="14"/>
                <w:lang w:val="en-GB" w:eastAsia="ja-JP"/>
              </w:rPr>
              <w:t>418 €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371</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157.</w:t>
            </w:r>
            <w:r w:rsidRPr="00BD1FD4">
              <w:rPr>
                <w:rFonts w:eastAsia="MS Mincho"/>
                <w:sz w:val="14"/>
                <w:szCs w:val="14"/>
                <w:lang w:val="en-GB" w:eastAsia="ja-JP"/>
              </w:rPr>
              <w:t>047 €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603</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390.</w:t>
            </w:r>
            <w:r w:rsidRPr="00BD1FD4">
              <w:rPr>
                <w:rFonts w:eastAsia="MS Mincho"/>
                <w:sz w:val="14"/>
                <w:szCs w:val="14"/>
                <w:lang w:val="en-GB" w:eastAsia="ja-JP"/>
              </w:rPr>
              <w:t>939 €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879</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3,395.</w:t>
            </w:r>
            <w:r w:rsidRPr="00BD1FD4">
              <w:rPr>
                <w:rFonts w:eastAsia="MS Mincho"/>
                <w:sz w:val="14"/>
                <w:szCs w:val="14"/>
                <w:lang w:val="en-GB" w:eastAsia="ja-JP"/>
              </w:rPr>
              <w:t>404 €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161</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432.</w:t>
            </w:r>
            <w:r w:rsidRPr="00BD1FD4">
              <w:rPr>
                <w:rFonts w:eastAsia="Times"/>
                <w:sz w:val="14"/>
                <w:szCs w:val="14"/>
                <w:lang w:val="en-GB" w:eastAsia="en-GB"/>
              </w:rPr>
              <w:t>834 €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30/04/2016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904</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2,888.</w:t>
            </w:r>
            <w:r w:rsidRPr="00BD1FD4">
              <w:rPr>
                <w:rFonts w:eastAsia="MS Mincho"/>
                <w:sz w:val="14"/>
                <w:szCs w:val="14"/>
                <w:lang w:val="en-GB" w:eastAsia="ja-JP"/>
              </w:rPr>
              <w:t>262 €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370</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159.</w:t>
            </w:r>
            <w:r w:rsidRPr="00BD1FD4">
              <w:rPr>
                <w:rFonts w:eastAsia="MS Mincho"/>
                <w:sz w:val="14"/>
                <w:szCs w:val="14"/>
                <w:lang w:val="en-GB" w:eastAsia="ja-JP"/>
              </w:rPr>
              <w:t>477 €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606</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394.</w:t>
            </w:r>
            <w:r w:rsidRPr="00BD1FD4">
              <w:rPr>
                <w:rFonts w:eastAsia="MS Mincho"/>
                <w:sz w:val="14"/>
                <w:szCs w:val="14"/>
                <w:lang w:val="en-GB" w:eastAsia="ja-JP"/>
              </w:rPr>
              <w:t>341 €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880</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3,442.</w:t>
            </w:r>
            <w:r w:rsidRPr="00BD1FD4">
              <w:rPr>
                <w:rFonts w:eastAsia="MS Mincho"/>
                <w:sz w:val="14"/>
                <w:szCs w:val="14"/>
                <w:lang w:val="en-GB" w:eastAsia="ja-JP"/>
              </w:rPr>
              <w:t>080 €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162</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479.</w:t>
            </w:r>
            <w:r w:rsidRPr="00BD1FD4">
              <w:rPr>
                <w:rFonts w:eastAsia="Times"/>
                <w:sz w:val="14"/>
                <w:szCs w:val="14"/>
                <w:lang w:val="en-GB" w:eastAsia="en-GB"/>
              </w:rPr>
              <w:t>510 €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lastRenderedPageBreak/>
              <w:t>31/05/2016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902</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w:t>
            </w:r>
            <w:r w:rsidRPr="00BD1FD4">
              <w:rPr>
                <w:rFonts w:eastAsia="MS Mincho"/>
                <w:sz w:val="14"/>
                <w:szCs w:val="14"/>
                <w:lang w:val="en-GB" w:eastAsia="ja-JP"/>
              </w:rPr>
              <w:t>9</w:t>
            </w:r>
            <w:r>
              <w:rPr>
                <w:rFonts w:eastAsia="MS Mincho"/>
                <w:sz w:val="14"/>
                <w:szCs w:val="14"/>
                <w:lang w:val="en-GB" w:eastAsia="ja-JP"/>
              </w:rPr>
              <w:t>28.</w:t>
            </w:r>
            <w:r w:rsidRPr="00BD1FD4">
              <w:rPr>
                <w:rFonts w:eastAsia="MS Mincho"/>
                <w:sz w:val="14"/>
                <w:szCs w:val="14"/>
                <w:lang w:val="en-GB" w:eastAsia="ja-JP"/>
              </w:rPr>
              <w:t>461 €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371</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159.</w:t>
            </w:r>
            <w:r w:rsidRPr="00BD1FD4">
              <w:rPr>
                <w:rFonts w:eastAsia="MS Mincho"/>
                <w:sz w:val="14"/>
                <w:szCs w:val="14"/>
                <w:lang w:val="en-GB" w:eastAsia="ja-JP"/>
              </w:rPr>
              <w:t>174 €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609</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400.</w:t>
            </w:r>
            <w:r w:rsidRPr="00BD1FD4">
              <w:rPr>
                <w:rFonts w:eastAsia="MS Mincho"/>
                <w:sz w:val="14"/>
                <w:szCs w:val="14"/>
                <w:lang w:val="en-GB" w:eastAsia="ja-JP"/>
              </w:rPr>
              <w:t>345 €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882</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3,487.</w:t>
            </w:r>
            <w:r w:rsidRPr="00BD1FD4">
              <w:rPr>
                <w:rFonts w:eastAsia="MS Mincho"/>
                <w:sz w:val="14"/>
                <w:szCs w:val="14"/>
                <w:lang w:val="en-GB" w:eastAsia="ja-JP"/>
              </w:rPr>
              <w:t>980 €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164</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525.</w:t>
            </w:r>
            <w:r w:rsidRPr="00BD1FD4">
              <w:rPr>
                <w:rFonts w:eastAsia="Times"/>
                <w:sz w:val="14"/>
                <w:szCs w:val="14"/>
                <w:lang w:val="en-GB" w:eastAsia="en-GB"/>
              </w:rPr>
              <w:t>410 €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30/06/2016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899</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2,906.</w:t>
            </w:r>
            <w:r w:rsidRPr="00BD1FD4">
              <w:rPr>
                <w:rFonts w:eastAsia="MS Mincho"/>
                <w:sz w:val="14"/>
                <w:szCs w:val="14"/>
                <w:lang w:val="en-GB" w:eastAsia="ja-JP"/>
              </w:rPr>
              <w:t>498 €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367</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156.</w:t>
            </w:r>
            <w:r w:rsidRPr="00BD1FD4">
              <w:rPr>
                <w:rFonts w:eastAsia="MS Mincho"/>
                <w:sz w:val="14"/>
                <w:szCs w:val="14"/>
                <w:lang w:val="en-GB" w:eastAsia="ja-JP"/>
              </w:rPr>
              <w:t>893 €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621</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398.</w:t>
            </w:r>
            <w:r w:rsidRPr="00BD1FD4">
              <w:rPr>
                <w:rFonts w:eastAsia="MS Mincho"/>
                <w:sz w:val="14"/>
                <w:szCs w:val="14"/>
                <w:lang w:val="en-GB" w:eastAsia="ja-JP"/>
              </w:rPr>
              <w:t>513 €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887</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3,461.</w:t>
            </w:r>
            <w:r w:rsidRPr="00BD1FD4">
              <w:rPr>
                <w:rFonts w:eastAsia="MS Mincho"/>
                <w:sz w:val="14"/>
                <w:szCs w:val="14"/>
                <w:lang w:val="en-GB" w:eastAsia="ja-JP"/>
              </w:rPr>
              <w:t>904 €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169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499.</w:t>
            </w:r>
            <w:r w:rsidRPr="00BD1FD4">
              <w:rPr>
                <w:rFonts w:eastAsia="Times"/>
                <w:sz w:val="14"/>
                <w:szCs w:val="14"/>
                <w:lang w:val="en-GB" w:eastAsia="en-GB"/>
              </w:rPr>
              <w:t>334 €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31/07/2016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892</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2,997.</w:t>
            </w:r>
            <w:r w:rsidRPr="00BD1FD4">
              <w:rPr>
                <w:rFonts w:eastAsia="MS Mincho"/>
                <w:sz w:val="14"/>
                <w:szCs w:val="14"/>
                <w:lang w:val="en-GB" w:eastAsia="ja-JP"/>
              </w:rPr>
              <w:t>551 €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365</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159.</w:t>
            </w:r>
            <w:r w:rsidRPr="00BD1FD4">
              <w:rPr>
                <w:rFonts w:eastAsia="MS Mincho"/>
                <w:sz w:val="14"/>
                <w:szCs w:val="14"/>
                <w:lang w:val="en-GB" w:eastAsia="ja-JP"/>
              </w:rPr>
              <w:t>356 €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631</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408.</w:t>
            </w:r>
            <w:r w:rsidRPr="00BD1FD4">
              <w:rPr>
                <w:rFonts w:eastAsia="MS Mincho"/>
                <w:sz w:val="14"/>
                <w:szCs w:val="14"/>
                <w:lang w:val="en-GB" w:eastAsia="ja-JP"/>
              </w:rPr>
              <w:t>849 €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888</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3,565.</w:t>
            </w:r>
            <w:r w:rsidRPr="00BD1FD4">
              <w:rPr>
                <w:rFonts w:eastAsia="MS Mincho"/>
                <w:sz w:val="14"/>
                <w:szCs w:val="14"/>
                <w:lang w:val="en-GB" w:eastAsia="ja-JP"/>
              </w:rPr>
              <w:t>756 €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170</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603.</w:t>
            </w:r>
            <w:r w:rsidRPr="00BD1FD4">
              <w:rPr>
                <w:rFonts w:eastAsia="Times"/>
                <w:sz w:val="14"/>
                <w:szCs w:val="14"/>
                <w:lang w:val="en-GB" w:eastAsia="en-GB"/>
              </w:rPr>
              <w:t>186 €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31/08/2016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894</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3,033.</w:t>
            </w:r>
            <w:r w:rsidRPr="00BD1FD4">
              <w:rPr>
                <w:rFonts w:eastAsia="MS Mincho"/>
                <w:sz w:val="14"/>
                <w:szCs w:val="14"/>
                <w:lang w:val="en-GB" w:eastAsia="ja-JP"/>
              </w:rPr>
              <w:t>413 €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363</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159.</w:t>
            </w:r>
            <w:r w:rsidRPr="00BD1FD4">
              <w:rPr>
                <w:rFonts w:eastAsia="MS Mincho"/>
                <w:sz w:val="14"/>
                <w:szCs w:val="14"/>
                <w:lang w:val="en-GB" w:eastAsia="ja-JP"/>
              </w:rPr>
              <w:t>141 €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636</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409.</w:t>
            </w:r>
            <w:r w:rsidRPr="00BD1FD4">
              <w:rPr>
                <w:rFonts w:eastAsia="MS Mincho"/>
                <w:sz w:val="14"/>
                <w:szCs w:val="14"/>
                <w:lang w:val="en-GB" w:eastAsia="ja-JP"/>
              </w:rPr>
              <w:t>608 €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893</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3,602.</w:t>
            </w:r>
            <w:r w:rsidRPr="00BD1FD4">
              <w:rPr>
                <w:rFonts w:eastAsia="MS Mincho"/>
                <w:sz w:val="14"/>
                <w:szCs w:val="14"/>
                <w:lang w:val="en-GB" w:eastAsia="ja-JP"/>
              </w:rPr>
              <w:t>162 €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175</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639.</w:t>
            </w:r>
            <w:r w:rsidRPr="00BD1FD4">
              <w:rPr>
                <w:rFonts w:eastAsia="Times"/>
                <w:sz w:val="14"/>
                <w:szCs w:val="14"/>
                <w:lang w:val="en-GB" w:eastAsia="en-GB"/>
              </w:rPr>
              <w:t>592 €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30/09/2016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891</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3,051.</w:t>
            </w:r>
            <w:r w:rsidRPr="00BD1FD4">
              <w:rPr>
                <w:rFonts w:eastAsia="MS Mincho"/>
                <w:sz w:val="14"/>
                <w:szCs w:val="14"/>
                <w:lang w:val="en-GB" w:eastAsia="ja-JP"/>
              </w:rPr>
              <w:t>016 €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362</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159.</w:t>
            </w:r>
            <w:r w:rsidRPr="00BD1FD4">
              <w:rPr>
                <w:rFonts w:eastAsia="MS Mincho"/>
                <w:sz w:val="14"/>
                <w:szCs w:val="14"/>
                <w:lang w:val="en-GB" w:eastAsia="ja-JP"/>
              </w:rPr>
              <w:t>088 €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644</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411.</w:t>
            </w:r>
            <w:r w:rsidRPr="00BD1FD4">
              <w:rPr>
                <w:rFonts w:eastAsia="MS Mincho"/>
                <w:sz w:val="14"/>
                <w:szCs w:val="14"/>
                <w:lang w:val="en-GB" w:eastAsia="ja-JP"/>
              </w:rPr>
              <w:t>825 €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897</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3,621.</w:t>
            </w:r>
            <w:r w:rsidRPr="00BD1FD4">
              <w:rPr>
                <w:rFonts w:eastAsia="MS Mincho"/>
                <w:sz w:val="14"/>
                <w:szCs w:val="14"/>
                <w:lang w:val="en-GB" w:eastAsia="ja-JP"/>
              </w:rPr>
              <w:t>929 €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179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659.</w:t>
            </w:r>
            <w:r w:rsidRPr="00BD1FD4">
              <w:rPr>
                <w:rFonts w:eastAsia="Times"/>
                <w:sz w:val="14"/>
                <w:szCs w:val="14"/>
                <w:lang w:val="en-GB" w:eastAsia="en-GB"/>
              </w:rPr>
              <w:t>359 €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31/10/2016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893</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00E9353D">
              <w:rPr>
                <w:rFonts w:eastAsia="MS Mincho"/>
                <w:sz w:val="14"/>
                <w:szCs w:val="14"/>
                <w:lang w:val="en-GB" w:eastAsia="ja-JP"/>
              </w:rPr>
              <w:t>053</w:t>
            </w:r>
            <w:bookmarkStart w:id="0" w:name="_GoBack"/>
            <w:bookmarkEnd w:id="0"/>
            <w:r>
              <w:rPr>
                <w:rFonts w:eastAsia="MS Mincho"/>
                <w:sz w:val="14"/>
                <w:szCs w:val="14"/>
                <w:lang w:val="en-GB" w:eastAsia="ja-JP"/>
              </w:rPr>
              <w:t>.</w:t>
            </w:r>
            <w:r w:rsidRPr="00BD1FD4">
              <w:rPr>
                <w:rFonts w:eastAsia="MS Mincho"/>
                <w:sz w:val="14"/>
                <w:szCs w:val="14"/>
                <w:lang w:val="en-GB" w:eastAsia="ja-JP"/>
              </w:rPr>
              <w:t>246 €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356</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159.</w:t>
            </w:r>
            <w:r w:rsidRPr="00BD1FD4">
              <w:rPr>
                <w:rFonts w:eastAsia="MS Mincho"/>
                <w:sz w:val="14"/>
                <w:szCs w:val="14"/>
                <w:lang w:val="en-GB" w:eastAsia="ja-JP"/>
              </w:rPr>
              <w:t>320 €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642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413.</w:t>
            </w:r>
            <w:r w:rsidRPr="00BD1FD4">
              <w:rPr>
                <w:rFonts w:eastAsia="MS Mincho"/>
                <w:sz w:val="14"/>
                <w:szCs w:val="14"/>
                <w:lang w:val="en-GB" w:eastAsia="ja-JP"/>
              </w:rPr>
              <w:t>932 €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891</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3,626.</w:t>
            </w:r>
            <w:r w:rsidRPr="00BD1FD4">
              <w:rPr>
                <w:rFonts w:eastAsia="MS Mincho"/>
                <w:sz w:val="14"/>
                <w:szCs w:val="14"/>
                <w:lang w:val="en-GB" w:eastAsia="ja-JP"/>
              </w:rPr>
              <w:t>498 €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173</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w:t>
            </w:r>
            <w:r w:rsidR="00002520">
              <w:rPr>
                <w:rFonts w:eastAsia="Times"/>
                <w:sz w:val="14"/>
                <w:szCs w:val="14"/>
                <w:lang w:val="en-GB" w:eastAsia="en-GB"/>
              </w:rPr>
              <w:t>663.</w:t>
            </w:r>
            <w:r w:rsidRPr="00BD1FD4">
              <w:rPr>
                <w:rFonts w:eastAsia="Times"/>
                <w:sz w:val="14"/>
                <w:szCs w:val="14"/>
                <w:lang w:val="en-GB" w:eastAsia="en-GB"/>
              </w:rPr>
              <w:t>928 €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30/11/2016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888</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3,065.</w:t>
            </w:r>
            <w:r w:rsidRPr="00BD1FD4">
              <w:rPr>
                <w:rFonts w:eastAsia="MS Mincho"/>
                <w:sz w:val="14"/>
                <w:szCs w:val="14"/>
                <w:lang w:val="en-GB" w:eastAsia="ja-JP"/>
              </w:rPr>
              <w:t>882 €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355</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158.</w:t>
            </w:r>
            <w:r w:rsidRPr="00BD1FD4">
              <w:rPr>
                <w:rFonts w:eastAsia="MS Mincho"/>
                <w:sz w:val="14"/>
                <w:szCs w:val="14"/>
                <w:lang w:val="en-GB" w:eastAsia="ja-JP"/>
              </w:rPr>
              <w:t>862 €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645</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415.</w:t>
            </w:r>
            <w:r w:rsidRPr="00BD1FD4">
              <w:rPr>
                <w:rFonts w:eastAsia="MS Mincho"/>
                <w:sz w:val="14"/>
                <w:szCs w:val="14"/>
                <w:lang w:val="en-GB" w:eastAsia="ja-JP"/>
              </w:rPr>
              <w:t>885 €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888</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3,640.</w:t>
            </w:r>
            <w:r w:rsidRPr="00BD1FD4">
              <w:rPr>
                <w:rFonts w:eastAsia="MS Mincho"/>
                <w:sz w:val="14"/>
                <w:szCs w:val="14"/>
                <w:lang w:val="en-GB" w:eastAsia="ja-JP"/>
              </w:rPr>
              <w:t>629 €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37.</w:t>
            </w:r>
            <w:r w:rsidRPr="00BD1FD4">
              <w:rPr>
                <w:rFonts w:eastAsia="MS Mincho"/>
                <w:sz w:val="14"/>
                <w:szCs w:val="14"/>
                <w:lang w:val="en-GB" w:eastAsia="ja-JP"/>
              </w:rPr>
              <w:t>430 €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color w:val="FF0000"/>
                <w:sz w:val="14"/>
                <w:szCs w:val="14"/>
                <w:lang w:val="en-GB" w:eastAsia="ja-JP"/>
              </w:rPr>
            </w:pPr>
            <w:r>
              <w:rPr>
                <w:rFonts w:eastAsia="Times"/>
                <w:sz w:val="14"/>
                <w:szCs w:val="14"/>
                <w:lang w:val="en-GB" w:eastAsia="en-GB"/>
              </w:rPr>
              <w:t>4,</w:t>
            </w:r>
            <w:r w:rsidRPr="00BD1FD4">
              <w:rPr>
                <w:rFonts w:eastAsia="Times"/>
                <w:sz w:val="14"/>
                <w:szCs w:val="14"/>
                <w:lang w:val="en-GB" w:eastAsia="en-GB"/>
              </w:rPr>
              <w:t>170</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MS Mincho"/>
                <w:color w:val="FF0000"/>
                <w:sz w:val="14"/>
                <w:szCs w:val="14"/>
                <w:lang w:val="en-GB" w:eastAsia="ja-JP"/>
              </w:rPr>
            </w:pPr>
            <w:r>
              <w:rPr>
                <w:rFonts w:eastAsia="Times"/>
                <w:sz w:val="14"/>
                <w:szCs w:val="14"/>
                <w:lang w:val="en-GB" w:eastAsia="en-GB"/>
              </w:rPr>
              <w:t>3,678.</w:t>
            </w:r>
            <w:r w:rsidR="00A80C9C" w:rsidRPr="00BD1FD4">
              <w:rPr>
                <w:rFonts w:eastAsia="Times"/>
                <w:sz w:val="14"/>
                <w:szCs w:val="14"/>
                <w:lang w:val="en-GB" w:eastAsia="en-GB"/>
              </w:rPr>
              <w:t>059 €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31/12/2016</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869</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3,116.</w:t>
            </w:r>
            <w:r w:rsidRPr="00BD1FD4">
              <w:rPr>
                <w:rFonts w:eastAsia="MS Mincho"/>
                <w:sz w:val="14"/>
                <w:szCs w:val="14"/>
                <w:lang w:val="en-GB" w:eastAsia="ja-JP"/>
              </w:rPr>
              <w:t>104 €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353</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160.</w:t>
            </w:r>
            <w:r w:rsidRPr="00BD1FD4">
              <w:rPr>
                <w:rFonts w:eastAsia="MS Mincho"/>
                <w:sz w:val="14"/>
                <w:szCs w:val="14"/>
                <w:lang w:val="en-GB" w:eastAsia="ja-JP"/>
              </w:rPr>
              <w:t>578 €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639</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424.</w:t>
            </w:r>
            <w:r w:rsidRPr="00BD1FD4">
              <w:rPr>
                <w:rFonts w:eastAsia="MS Mincho"/>
                <w:sz w:val="14"/>
                <w:szCs w:val="14"/>
                <w:lang w:val="en-GB" w:eastAsia="ja-JP"/>
              </w:rPr>
              <w:t>394 €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861</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3,701.</w:t>
            </w:r>
            <w:r w:rsidRPr="00BD1FD4">
              <w:rPr>
                <w:rFonts w:eastAsia="MS Mincho"/>
                <w:sz w:val="14"/>
                <w:szCs w:val="14"/>
                <w:lang w:val="en-GB" w:eastAsia="ja-JP"/>
              </w:rPr>
              <w:t>076 €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283</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40.</w:t>
            </w:r>
            <w:r w:rsidRPr="00BD1FD4">
              <w:rPr>
                <w:rFonts w:eastAsia="MS Mincho"/>
                <w:sz w:val="14"/>
                <w:szCs w:val="14"/>
                <w:lang w:val="en-GB" w:eastAsia="ja-JP"/>
              </w:rPr>
              <w:t>254 €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Times"/>
                <w:sz w:val="14"/>
                <w:szCs w:val="14"/>
                <w:lang w:val="en-GB" w:eastAsia="en-GB"/>
              </w:rPr>
              <w:t>4,</w:t>
            </w:r>
            <w:r w:rsidRPr="00BD1FD4">
              <w:rPr>
                <w:rFonts w:eastAsia="Times"/>
                <w:sz w:val="14"/>
                <w:szCs w:val="14"/>
                <w:lang w:val="en-GB" w:eastAsia="en-GB"/>
              </w:rPr>
              <w:t>144</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MS Mincho"/>
                <w:sz w:val="14"/>
                <w:szCs w:val="14"/>
                <w:lang w:val="en-GB" w:eastAsia="ja-JP"/>
              </w:rPr>
            </w:pPr>
            <w:r>
              <w:rPr>
                <w:rFonts w:eastAsia="MS Mincho"/>
                <w:sz w:val="14"/>
                <w:szCs w:val="14"/>
                <w:lang w:val="en-GB" w:eastAsia="ja-JP"/>
              </w:rPr>
              <w:t>3,741.</w:t>
            </w:r>
            <w:r w:rsidR="00A80C9C" w:rsidRPr="00BD1FD4">
              <w:rPr>
                <w:rFonts w:eastAsia="MS Mincho"/>
                <w:sz w:val="14"/>
                <w:szCs w:val="14"/>
                <w:lang w:val="en-GB" w:eastAsia="ja-JP"/>
              </w:rPr>
              <w:t>330 €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31/01/2017</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869</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3,138.</w:t>
            </w:r>
            <w:r w:rsidRPr="00BD1FD4">
              <w:rPr>
                <w:rFonts w:eastAsia="MS Mincho"/>
                <w:sz w:val="14"/>
                <w:szCs w:val="14"/>
                <w:lang w:val="en-GB" w:eastAsia="ja-JP"/>
              </w:rPr>
              <w:t>701 €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351</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160.</w:t>
            </w:r>
            <w:r w:rsidRPr="00BD1FD4">
              <w:rPr>
                <w:rFonts w:eastAsia="MS Mincho"/>
                <w:sz w:val="14"/>
                <w:szCs w:val="14"/>
                <w:lang w:val="en-GB" w:eastAsia="ja-JP"/>
              </w:rPr>
              <w:t>967 €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623</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427.</w:t>
            </w:r>
            <w:r w:rsidRPr="00BD1FD4">
              <w:rPr>
                <w:rFonts w:eastAsia="MS Mincho"/>
                <w:sz w:val="14"/>
                <w:szCs w:val="14"/>
                <w:lang w:val="en-GB" w:eastAsia="ja-JP"/>
              </w:rPr>
              <w:t>236 €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843</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3,726.</w:t>
            </w:r>
            <w:r w:rsidRPr="00BD1FD4">
              <w:rPr>
                <w:rFonts w:eastAsia="MS Mincho"/>
                <w:sz w:val="14"/>
                <w:szCs w:val="14"/>
                <w:lang w:val="en-GB" w:eastAsia="ja-JP"/>
              </w:rPr>
              <w:t>904 €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sidRPr="00BD1FD4">
              <w:rPr>
                <w:rFonts w:eastAsia="Times"/>
                <w:sz w:val="14"/>
                <w:szCs w:val="14"/>
                <w:lang w:val="en-GB" w:eastAsia="en-GB"/>
              </w:rPr>
              <w:t>283</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 w:val="14"/>
                <w:szCs w:val="14"/>
                <w:lang w:val="en-GB" w:eastAsia="en-GB"/>
              </w:rPr>
            </w:pPr>
            <w:r>
              <w:rPr>
                <w:rFonts w:eastAsia="MS Mincho"/>
                <w:sz w:val="14"/>
                <w:szCs w:val="14"/>
                <w:lang w:val="en-GB" w:eastAsia="ja-JP"/>
              </w:rPr>
              <w:t>40.</w:t>
            </w:r>
            <w:r w:rsidRPr="00BD1FD4">
              <w:rPr>
                <w:rFonts w:eastAsia="MS Mincho"/>
                <w:sz w:val="14"/>
                <w:szCs w:val="14"/>
                <w:lang w:val="en-GB" w:eastAsia="ja-JP"/>
              </w:rPr>
              <w:t>483 €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w:t>
            </w:r>
            <w:r w:rsidRPr="00BD1FD4">
              <w:rPr>
                <w:rFonts w:eastAsia="MS Mincho"/>
                <w:sz w:val="14"/>
                <w:szCs w:val="14"/>
                <w:lang w:val="en-GB" w:eastAsia="ja-JP"/>
              </w:rPr>
              <w:t>126</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MS Mincho"/>
                <w:sz w:val="14"/>
                <w:szCs w:val="14"/>
                <w:lang w:val="en-GB" w:eastAsia="ja-JP"/>
              </w:rPr>
            </w:pPr>
            <w:r>
              <w:rPr>
                <w:rFonts w:eastAsia="MS Mincho"/>
                <w:sz w:val="14"/>
                <w:szCs w:val="14"/>
                <w:lang w:val="en-GB" w:eastAsia="ja-JP"/>
              </w:rPr>
              <w:t>3,767.</w:t>
            </w:r>
            <w:r w:rsidR="00A80C9C" w:rsidRPr="00BD1FD4">
              <w:rPr>
                <w:rFonts w:eastAsia="MS Mincho"/>
                <w:sz w:val="14"/>
                <w:szCs w:val="14"/>
                <w:lang w:val="en-GB" w:eastAsia="ja-JP"/>
              </w:rPr>
              <w:t>387 €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28/02/2017</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880</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Times"/>
                <w:szCs w:val="20"/>
                <w:lang w:val="en-GB" w:eastAsia="en-GB"/>
              </w:rPr>
            </w:pPr>
            <w:r>
              <w:rPr>
                <w:rFonts w:eastAsia="MS Mincho"/>
                <w:sz w:val="14"/>
                <w:szCs w:val="14"/>
                <w:lang w:val="en-GB" w:eastAsia="ja-JP"/>
              </w:rPr>
              <w:t>3,217.</w:t>
            </w:r>
            <w:r w:rsidRPr="00BD1FD4">
              <w:rPr>
                <w:rFonts w:eastAsia="MS Mincho"/>
                <w:sz w:val="14"/>
                <w:szCs w:val="14"/>
                <w:lang w:val="en-GB" w:eastAsia="ja-JP"/>
              </w:rPr>
              <w:t>837 €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Times"/>
                <w:szCs w:val="20"/>
                <w:lang w:val="en-GB" w:eastAsia="en-GB"/>
              </w:rPr>
            </w:pPr>
            <w:r w:rsidRPr="00BD1FD4">
              <w:rPr>
                <w:rFonts w:eastAsia="MS Mincho"/>
                <w:sz w:val="14"/>
                <w:szCs w:val="14"/>
                <w:lang w:val="en-GB" w:eastAsia="ja-JP"/>
              </w:rPr>
              <w:t>351</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Times"/>
                <w:szCs w:val="20"/>
                <w:lang w:val="en-GB" w:eastAsia="en-GB"/>
              </w:rPr>
            </w:pPr>
            <w:r>
              <w:rPr>
                <w:rFonts w:eastAsia="MS Mincho"/>
                <w:sz w:val="14"/>
                <w:szCs w:val="14"/>
                <w:lang w:val="en-GB" w:eastAsia="ja-JP"/>
              </w:rPr>
              <w:t>164.</w:t>
            </w:r>
            <w:r w:rsidRPr="00BD1FD4">
              <w:rPr>
                <w:rFonts w:eastAsia="MS Mincho"/>
                <w:sz w:val="14"/>
                <w:szCs w:val="14"/>
                <w:lang w:val="en-GB" w:eastAsia="ja-JP"/>
              </w:rPr>
              <w:t>858 €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Cs w:val="20"/>
                <w:lang w:val="en-GB" w:eastAsia="en-GB"/>
              </w:rPr>
            </w:pPr>
            <w:r>
              <w:rPr>
                <w:rFonts w:eastAsia="MS Mincho"/>
                <w:sz w:val="14"/>
                <w:szCs w:val="14"/>
                <w:lang w:val="en-GB" w:eastAsia="ja-JP"/>
              </w:rPr>
              <w:t>1,</w:t>
            </w:r>
            <w:r w:rsidRPr="00BD1FD4">
              <w:rPr>
                <w:rFonts w:eastAsia="MS Mincho"/>
                <w:sz w:val="14"/>
                <w:szCs w:val="14"/>
                <w:lang w:val="en-GB" w:eastAsia="ja-JP"/>
              </w:rPr>
              <w:t>617</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Cs w:val="20"/>
                <w:lang w:val="en-GB" w:eastAsia="en-GB"/>
              </w:rPr>
            </w:pPr>
            <w:r>
              <w:rPr>
                <w:rFonts w:eastAsia="MS Mincho"/>
                <w:sz w:val="14"/>
                <w:szCs w:val="14"/>
                <w:lang w:val="en-GB" w:eastAsia="ja-JP"/>
              </w:rPr>
              <w:t>436.</w:t>
            </w:r>
            <w:r w:rsidRPr="00BD1FD4">
              <w:rPr>
                <w:rFonts w:eastAsia="MS Mincho"/>
                <w:sz w:val="14"/>
                <w:szCs w:val="14"/>
                <w:lang w:val="en-GB" w:eastAsia="ja-JP"/>
              </w:rPr>
              <w:t>203 €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Times"/>
                <w:szCs w:val="20"/>
                <w:lang w:val="en-GB" w:eastAsia="en-GB"/>
              </w:rPr>
            </w:pPr>
            <w:r>
              <w:rPr>
                <w:rFonts w:eastAsia="MS Mincho"/>
                <w:sz w:val="14"/>
                <w:szCs w:val="14"/>
                <w:lang w:val="en-GB" w:eastAsia="ja-JP"/>
              </w:rPr>
              <w:t>3,</w:t>
            </w:r>
            <w:r w:rsidRPr="00BD1FD4">
              <w:rPr>
                <w:rFonts w:eastAsia="MS Mincho"/>
                <w:sz w:val="14"/>
                <w:szCs w:val="14"/>
                <w:lang w:val="en-GB" w:eastAsia="ja-JP"/>
              </w:rPr>
              <w:t>848</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Times"/>
                <w:szCs w:val="20"/>
                <w:lang w:val="en-GB" w:eastAsia="en-GB"/>
              </w:rPr>
            </w:pPr>
            <w:r>
              <w:rPr>
                <w:rFonts w:eastAsia="MS Mincho"/>
                <w:sz w:val="14"/>
                <w:szCs w:val="14"/>
                <w:lang w:val="en-GB" w:eastAsia="ja-JP"/>
              </w:rPr>
              <w:t>3,818.</w:t>
            </w:r>
            <w:r w:rsidRPr="00BD1FD4">
              <w:rPr>
                <w:rFonts w:eastAsia="MS Mincho"/>
                <w:sz w:val="14"/>
                <w:szCs w:val="14"/>
                <w:lang w:val="en-GB" w:eastAsia="ja-JP"/>
              </w:rPr>
              <w:t>898 €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Cs w:val="20"/>
                <w:lang w:val="en-GB" w:eastAsia="en-GB"/>
              </w:rPr>
            </w:pPr>
            <w:r w:rsidRPr="00BD1FD4">
              <w:rPr>
                <w:rFonts w:eastAsia="Times"/>
                <w:sz w:val="14"/>
                <w:szCs w:val="14"/>
                <w:lang w:val="en-GB" w:eastAsia="en-GB"/>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Times"/>
                <w:szCs w:val="20"/>
                <w:lang w:val="en-GB" w:eastAsia="en-GB"/>
              </w:rPr>
            </w:pPr>
            <w:r>
              <w:rPr>
                <w:rFonts w:eastAsia="MS Mincho"/>
                <w:sz w:val="14"/>
                <w:szCs w:val="14"/>
                <w:lang w:val="en-GB" w:eastAsia="ja-JP"/>
              </w:rPr>
              <w:t>41.</w:t>
            </w:r>
            <w:r w:rsidRPr="00BD1FD4">
              <w:rPr>
                <w:rFonts w:eastAsia="MS Mincho"/>
                <w:sz w:val="14"/>
                <w:szCs w:val="14"/>
                <w:lang w:val="en-GB" w:eastAsia="ja-JP"/>
              </w:rPr>
              <w:t>419 €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Times"/>
                <w:szCs w:val="20"/>
                <w:lang w:val="en-GB" w:eastAsia="en-GB"/>
              </w:rPr>
            </w:pPr>
            <w:r>
              <w:rPr>
                <w:rFonts w:eastAsia="MS Mincho"/>
                <w:sz w:val="14"/>
                <w:szCs w:val="14"/>
                <w:lang w:val="en-GB" w:eastAsia="ja-JP"/>
              </w:rPr>
              <w:t>4,</w:t>
            </w:r>
            <w:r w:rsidRPr="00BD1FD4">
              <w:rPr>
                <w:rFonts w:eastAsia="MS Mincho"/>
                <w:sz w:val="14"/>
                <w:szCs w:val="14"/>
                <w:lang w:val="en-GB" w:eastAsia="ja-JP"/>
              </w:rPr>
              <w:t>130</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Times"/>
                <w:szCs w:val="20"/>
                <w:lang w:val="en-GB" w:eastAsia="en-GB"/>
              </w:rPr>
            </w:pPr>
            <w:r>
              <w:rPr>
                <w:rFonts w:eastAsia="MS Mincho"/>
                <w:sz w:val="14"/>
                <w:szCs w:val="14"/>
                <w:lang w:val="en-GB" w:eastAsia="ja-JP"/>
              </w:rPr>
              <w:t>3,860.</w:t>
            </w:r>
            <w:r w:rsidR="00A80C9C" w:rsidRPr="00BD1FD4">
              <w:rPr>
                <w:rFonts w:eastAsia="MS Mincho"/>
                <w:sz w:val="14"/>
                <w:szCs w:val="14"/>
                <w:lang w:val="en-GB" w:eastAsia="ja-JP"/>
              </w:rPr>
              <w:t>317 €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31/03/2017</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3,257.</w:t>
            </w:r>
            <w:r w:rsidRPr="00BD1FD4">
              <w:rPr>
                <w:rFonts w:eastAsia="MS Mincho"/>
                <w:sz w:val="14"/>
                <w:szCs w:val="14"/>
                <w:lang w:val="en-GB" w:eastAsia="ja-JP"/>
              </w:rPr>
              <w:t>773 €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346</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165.</w:t>
            </w:r>
            <w:r w:rsidRPr="00BD1FD4">
              <w:rPr>
                <w:rFonts w:eastAsia="MS Mincho"/>
                <w:sz w:val="14"/>
                <w:szCs w:val="14"/>
                <w:lang w:val="en-GB" w:eastAsia="ja-JP"/>
              </w:rPr>
              <w:t>780 €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618</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440.</w:t>
            </w:r>
            <w:r w:rsidRPr="00BD1FD4">
              <w:rPr>
                <w:rFonts w:eastAsia="MS Mincho"/>
                <w:sz w:val="14"/>
                <w:szCs w:val="14"/>
                <w:lang w:val="en-GB" w:eastAsia="ja-JP"/>
              </w:rPr>
              <w:t>288 €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859</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3,863.</w:t>
            </w:r>
            <w:r w:rsidRPr="00BD1FD4">
              <w:rPr>
                <w:rFonts w:eastAsia="MS Mincho"/>
                <w:sz w:val="14"/>
                <w:szCs w:val="14"/>
                <w:lang w:val="en-GB" w:eastAsia="ja-JP"/>
              </w:rPr>
              <w:t>841 €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280</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42.</w:t>
            </w:r>
            <w:r w:rsidRPr="00BD1FD4">
              <w:rPr>
                <w:rFonts w:eastAsia="MS Mincho"/>
                <w:sz w:val="14"/>
                <w:szCs w:val="14"/>
                <w:lang w:val="en-GB" w:eastAsia="ja-JP"/>
              </w:rPr>
              <w:t>186 €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w:t>
            </w:r>
            <w:r w:rsidRPr="00BD1FD4">
              <w:rPr>
                <w:rFonts w:eastAsia="MS Mincho"/>
                <w:sz w:val="14"/>
                <w:szCs w:val="14"/>
                <w:lang w:val="en-GB" w:eastAsia="ja-JP"/>
              </w:rPr>
              <w:t>139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MS Mincho"/>
                <w:sz w:val="14"/>
                <w:szCs w:val="14"/>
                <w:lang w:val="en-GB" w:eastAsia="ja-JP"/>
              </w:rPr>
            </w:pPr>
            <w:r>
              <w:rPr>
                <w:rFonts w:eastAsia="MS Mincho"/>
                <w:sz w:val="14"/>
                <w:szCs w:val="14"/>
                <w:lang w:val="en-GB" w:eastAsia="ja-JP"/>
              </w:rPr>
              <w:t>3,906.</w:t>
            </w:r>
            <w:r w:rsidR="00A80C9C" w:rsidRPr="00BD1FD4">
              <w:rPr>
                <w:rFonts w:eastAsia="MS Mincho"/>
                <w:sz w:val="14"/>
                <w:szCs w:val="14"/>
                <w:lang w:val="en-GB" w:eastAsia="ja-JP"/>
              </w:rPr>
              <w:t>027 €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30/04/2017</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892</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3,286.</w:t>
            </w:r>
            <w:r w:rsidRPr="00BD1FD4">
              <w:rPr>
                <w:rFonts w:eastAsia="MS Mincho"/>
                <w:sz w:val="14"/>
                <w:szCs w:val="14"/>
                <w:lang w:val="en-GB" w:eastAsia="ja-JP"/>
              </w:rPr>
              <w:t>525 €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342</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164.</w:t>
            </w:r>
            <w:r w:rsidRPr="00BD1FD4">
              <w:rPr>
                <w:rFonts w:eastAsia="MS Mincho"/>
                <w:sz w:val="14"/>
                <w:szCs w:val="14"/>
                <w:lang w:val="en-GB" w:eastAsia="ja-JP"/>
              </w:rPr>
              <w:t>471 €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613</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444.</w:t>
            </w:r>
            <w:r w:rsidRPr="00BD1FD4">
              <w:rPr>
                <w:rFonts w:eastAsia="MS Mincho"/>
                <w:sz w:val="14"/>
                <w:szCs w:val="14"/>
                <w:lang w:val="en-GB" w:eastAsia="ja-JP"/>
              </w:rPr>
              <w:t>874 €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847</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3,895.</w:t>
            </w:r>
            <w:r w:rsidRPr="00BD1FD4">
              <w:rPr>
                <w:rFonts w:eastAsia="MS Mincho"/>
                <w:sz w:val="14"/>
                <w:szCs w:val="14"/>
                <w:lang w:val="en-GB" w:eastAsia="ja-JP"/>
              </w:rPr>
              <w:t>870 €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282</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42.</w:t>
            </w:r>
            <w:r w:rsidRPr="00BD1FD4">
              <w:rPr>
                <w:rFonts w:eastAsia="MS Mincho"/>
                <w:sz w:val="14"/>
                <w:szCs w:val="14"/>
                <w:lang w:val="en-GB" w:eastAsia="ja-JP"/>
              </w:rPr>
              <w:t>037 €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w:t>
            </w:r>
            <w:r w:rsidRPr="00BD1FD4">
              <w:rPr>
                <w:rFonts w:eastAsia="MS Mincho"/>
                <w:sz w:val="14"/>
                <w:szCs w:val="14"/>
                <w:lang w:val="en-GB" w:eastAsia="ja-JP"/>
              </w:rPr>
              <w:t>129</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00A80C9C" w:rsidRPr="00BD1FD4">
              <w:rPr>
                <w:rFonts w:eastAsia="MS Mincho"/>
                <w:sz w:val="14"/>
                <w:szCs w:val="14"/>
                <w:lang w:val="en-GB" w:eastAsia="ja-JP"/>
              </w:rPr>
              <w:t>937</w:t>
            </w:r>
            <w:r>
              <w:rPr>
                <w:rFonts w:eastAsia="MS Mincho"/>
                <w:sz w:val="14"/>
                <w:szCs w:val="14"/>
                <w:lang w:val="en-GB" w:eastAsia="ja-JP"/>
              </w:rPr>
              <w:t>.</w:t>
            </w:r>
            <w:r w:rsidR="00A80C9C" w:rsidRPr="00BD1FD4">
              <w:rPr>
                <w:rFonts w:eastAsia="MS Mincho"/>
                <w:sz w:val="14"/>
                <w:szCs w:val="14"/>
                <w:lang w:val="en-GB" w:eastAsia="ja-JP"/>
              </w:rPr>
              <w:t>907 €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31/05/2017</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895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3,297.</w:t>
            </w:r>
            <w:r w:rsidRPr="00BD1FD4">
              <w:rPr>
                <w:rFonts w:eastAsia="MS Mincho"/>
                <w:sz w:val="14"/>
                <w:szCs w:val="14"/>
                <w:lang w:val="en-GB" w:eastAsia="ja-JP"/>
              </w:rPr>
              <w:t>803 €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342</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162.</w:t>
            </w:r>
            <w:r w:rsidRPr="00BD1FD4">
              <w:rPr>
                <w:rFonts w:eastAsia="MS Mincho"/>
                <w:sz w:val="14"/>
                <w:szCs w:val="14"/>
                <w:lang w:val="en-GB" w:eastAsia="ja-JP"/>
              </w:rPr>
              <w:t>813 €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620</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453.</w:t>
            </w:r>
            <w:r w:rsidRPr="00BD1FD4">
              <w:rPr>
                <w:rFonts w:eastAsia="MS Mincho"/>
                <w:sz w:val="14"/>
                <w:szCs w:val="14"/>
                <w:lang w:val="en-GB" w:eastAsia="ja-JP"/>
              </w:rPr>
              <w:t>326 €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857</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3,913.</w:t>
            </w:r>
            <w:r w:rsidRPr="00BD1FD4">
              <w:rPr>
                <w:rFonts w:eastAsia="MS Mincho"/>
                <w:sz w:val="14"/>
                <w:szCs w:val="14"/>
                <w:lang w:val="en-GB" w:eastAsia="ja-JP"/>
              </w:rPr>
              <w:t>943 €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285</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42.</w:t>
            </w:r>
            <w:r w:rsidRPr="00BD1FD4">
              <w:rPr>
                <w:rFonts w:eastAsia="MS Mincho"/>
                <w:sz w:val="14"/>
                <w:szCs w:val="14"/>
                <w:lang w:val="en-GB" w:eastAsia="ja-JP"/>
              </w:rPr>
              <w:t>923 €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w:t>
            </w:r>
            <w:r w:rsidRPr="00BD1FD4">
              <w:rPr>
                <w:rFonts w:eastAsia="MS Mincho"/>
                <w:sz w:val="14"/>
                <w:szCs w:val="14"/>
                <w:lang w:val="en-GB" w:eastAsia="ja-JP"/>
              </w:rPr>
              <w:t>142</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MS Mincho"/>
                <w:sz w:val="14"/>
                <w:szCs w:val="14"/>
                <w:lang w:val="en-GB" w:eastAsia="ja-JP"/>
              </w:rPr>
            </w:pPr>
            <w:r>
              <w:rPr>
                <w:rFonts w:eastAsia="MS Mincho"/>
                <w:sz w:val="14"/>
                <w:szCs w:val="14"/>
                <w:lang w:val="en-GB" w:eastAsia="ja-JP"/>
              </w:rPr>
              <w:t>3,956.</w:t>
            </w:r>
            <w:r w:rsidR="00A80C9C" w:rsidRPr="00BD1FD4">
              <w:rPr>
                <w:rFonts w:eastAsia="MS Mincho"/>
                <w:sz w:val="14"/>
                <w:szCs w:val="14"/>
                <w:lang w:val="en-GB" w:eastAsia="ja-JP"/>
              </w:rPr>
              <w:t>366 €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30/06/2017</w:t>
            </w:r>
          </w:p>
        </w:tc>
        <w:tc>
          <w:tcPr>
            <w:tcW w:w="850"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887</w:t>
            </w:r>
          </w:p>
        </w:tc>
        <w:tc>
          <w:tcPr>
            <w:tcW w:w="993"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3,288.</w:t>
            </w:r>
            <w:r w:rsidRPr="00BD1FD4">
              <w:rPr>
                <w:rFonts w:eastAsia="MS Mincho"/>
                <w:sz w:val="14"/>
                <w:szCs w:val="14"/>
                <w:lang w:val="en-GB" w:eastAsia="ja-JP"/>
              </w:rPr>
              <w:t>338 €</w:t>
            </w:r>
          </w:p>
        </w:tc>
        <w:tc>
          <w:tcPr>
            <w:tcW w:w="815"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338</w:t>
            </w:r>
          </w:p>
        </w:tc>
        <w:tc>
          <w:tcPr>
            <w:tcW w:w="851"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160.</w:t>
            </w:r>
            <w:r w:rsidRPr="00BD1FD4">
              <w:rPr>
                <w:rFonts w:eastAsia="MS Mincho"/>
                <w:sz w:val="14"/>
                <w:szCs w:val="14"/>
                <w:lang w:val="en-GB" w:eastAsia="ja-JP"/>
              </w:rPr>
              <w:t>634 €</w:t>
            </w:r>
          </w:p>
        </w:tc>
        <w:tc>
          <w:tcPr>
            <w:tcW w:w="850" w:type="dxa"/>
            <w:tcBorders>
              <w:top w:val="single" w:sz="4" w:space="0" w:color="auto"/>
              <w:left w:val="single" w:sz="4" w:space="0" w:color="auto"/>
              <w:bottom w:val="single" w:sz="4" w:space="0" w:color="auto"/>
              <w:right w:val="single" w:sz="4" w:space="0" w:color="auto"/>
            </w:tcBorders>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618</w:t>
            </w:r>
          </w:p>
        </w:tc>
        <w:tc>
          <w:tcPr>
            <w:tcW w:w="851" w:type="dxa"/>
            <w:tcBorders>
              <w:top w:val="single" w:sz="4" w:space="0" w:color="auto"/>
              <w:left w:val="single" w:sz="4" w:space="0" w:color="auto"/>
              <w:bottom w:val="single" w:sz="4" w:space="0" w:color="auto"/>
              <w:right w:val="single" w:sz="4" w:space="0" w:color="auto"/>
            </w:tcBorders>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451.</w:t>
            </w:r>
            <w:r w:rsidRPr="00BD1FD4">
              <w:rPr>
                <w:rFonts w:eastAsia="MS Mincho"/>
                <w:sz w:val="14"/>
                <w:szCs w:val="14"/>
                <w:lang w:val="en-GB" w:eastAsia="ja-JP"/>
              </w:rPr>
              <w:t>703 €</w:t>
            </w:r>
          </w:p>
        </w:tc>
        <w:tc>
          <w:tcPr>
            <w:tcW w:w="850"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843</w:t>
            </w:r>
          </w:p>
        </w:tc>
        <w:tc>
          <w:tcPr>
            <w:tcW w:w="993"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3,900.</w:t>
            </w:r>
            <w:r w:rsidRPr="00BD1FD4">
              <w:rPr>
                <w:rFonts w:eastAsia="MS Mincho"/>
                <w:sz w:val="14"/>
                <w:szCs w:val="14"/>
                <w:lang w:val="en-GB" w:eastAsia="ja-JP"/>
              </w:rPr>
              <w:t>675 €</w:t>
            </w:r>
          </w:p>
        </w:tc>
        <w:tc>
          <w:tcPr>
            <w:tcW w:w="850" w:type="dxa"/>
            <w:tcBorders>
              <w:top w:val="single" w:sz="4" w:space="0" w:color="auto"/>
              <w:left w:val="single" w:sz="4" w:space="0" w:color="auto"/>
              <w:bottom w:val="single" w:sz="4" w:space="0" w:color="auto"/>
              <w:right w:val="single" w:sz="4" w:space="0" w:color="auto"/>
            </w:tcBorders>
            <w:vAlign w:val="center"/>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287</w:t>
            </w:r>
          </w:p>
        </w:tc>
        <w:tc>
          <w:tcPr>
            <w:tcW w:w="851" w:type="dxa"/>
            <w:tcBorders>
              <w:top w:val="single" w:sz="4" w:space="0" w:color="auto"/>
              <w:left w:val="single" w:sz="4" w:space="0" w:color="auto"/>
              <w:bottom w:val="single" w:sz="4" w:space="0" w:color="auto"/>
              <w:right w:val="single" w:sz="4" w:space="0" w:color="auto"/>
            </w:tcBorders>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42.</w:t>
            </w:r>
            <w:r w:rsidRPr="00BD1FD4">
              <w:rPr>
                <w:rFonts w:eastAsia="MS Mincho"/>
                <w:sz w:val="14"/>
                <w:szCs w:val="14"/>
                <w:lang w:val="en-GB" w:eastAsia="ja-JP"/>
              </w:rPr>
              <w:t>923 €</w:t>
            </w:r>
          </w:p>
        </w:tc>
        <w:tc>
          <w:tcPr>
            <w:tcW w:w="850"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w:t>
            </w:r>
            <w:r w:rsidRPr="00BD1FD4">
              <w:rPr>
                <w:rFonts w:eastAsia="MS Mincho"/>
                <w:sz w:val="14"/>
                <w:szCs w:val="14"/>
                <w:lang w:val="en-GB" w:eastAsia="ja-JP"/>
              </w:rPr>
              <w:t>130</w:t>
            </w:r>
          </w:p>
        </w:tc>
        <w:tc>
          <w:tcPr>
            <w:tcW w:w="992" w:type="dxa"/>
            <w:tcBorders>
              <w:top w:val="single" w:sz="4" w:space="0" w:color="auto"/>
              <w:left w:val="single" w:sz="4" w:space="0" w:color="auto"/>
              <w:bottom w:val="single" w:sz="4" w:space="0" w:color="auto"/>
              <w:right w:val="single" w:sz="4" w:space="0" w:color="auto"/>
            </w:tcBorders>
            <w:noWrap/>
            <w:vAlign w:val="center"/>
          </w:tcPr>
          <w:p w:rsidR="00A80C9C" w:rsidRPr="00BD1FD4" w:rsidRDefault="00002520" w:rsidP="00A80C9C">
            <w:pPr>
              <w:spacing w:after="0" w:line="240" w:lineRule="auto"/>
              <w:jc w:val="right"/>
              <w:rPr>
                <w:rFonts w:eastAsia="MS Mincho"/>
                <w:sz w:val="14"/>
                <w:szCs w:val="14"/>
                <w:lang w:val="en-GB" w:eastAsia="ja-JP"/>
              </w:rPr>
            </w:pPr>
            <w:r>
              <w:rPr>
                <w:rFonts w:eastAsia="MS Mincho"/>
                <w:sz w:val="14"/>
                <w:szCs w:val="14"/>
                <w:lang w:val="en-GB" w:eastAsia="ja-JP"/>
              </w:rPr>
              <w:t>3,943.</w:t>
            </w:r>
            <w:r w:rsidR="00A80C9C" w:rsidRPr="00BD1FD4">
              <w:rPr>
                <w:rFonts w:eastAsia="MS Mincho"/>
                <w:sz w:val="14"/>
                <w:szCs w:val="14"/>
                <w:lang w:val="en-GB" w:eastAsia="ja-JP"/>
              </w:rPr>
              <w:t>598 €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31/07/2017</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885</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3,307.</w:t>
            </w:r>
            <w:r w:rsidRPr="00BD1FD4">
              <w:rPr>
                <w:rFonts w:eastAsia="MS Mincho"/>
                <w:sz w:val="14"/>
                <w:szCs w:val="14"/>
                <w:lang w:val="en-GB" w:eastAsia="ja-JP"/>
              </w:rPr>
              <w:t>103 €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338</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159.</w:t>
            </w:r>
            <w:r w:rsidRPr="00BD1FD4">
              <w:rPr>
                <w:rFonts w:eastAsia="MS Mincho"/>
                <w:sz w:val="14"/>
                <w:szCs w:val="14"/>
                <w:lang w:val="en-GB" w:eastAsia="ja-JP"/>
              </w:rPr>
              <w:t>097 €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w:t>
            </w:r>
            <w:r w:rsidRPr="00BD1FD4">
              <w:rPr>
                <w:rFonts w:eastAsia="MS Mincho"/>
                <w:sz w:val="14"/>
                <w:szCs w:val="14"/>
                <w:lang w:val="en-GB" w:eastAsia="ja-JP"/>
              </w:rPr>
              <w:t>619</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448.</w:t>
            </w:r>
            <w:r w:rsidRPr="00BD1FD4">
              <w:rPr>
                <w:rFonts w:eastAsia="MS Mincho"/>
                <w:sz w:val="14"/>
                <w:szCs w:val="14"/>
                <w:lang w:val="en-GB" w:eastAsia="ja-JP"/>
              </w:rPr>
              <w:t>554 €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w:t>
            </w:r>
            <w:r w:rsidRPr="00BD1FD4">
              <w:rPr>
                <w:rFonts w:eastAsia="MS Mincho"/>
                <w:sz w:val="14"/>
                <w:szCs w:val="14"/>
                <w:lang w:val="en-GB" w:eastAsia="ja-JP"/>
              </w:rPr>
              <w:t>842</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3,914.</w:t>
            </w:r>
            <w:r w:rsidRPr="00BD1FD4">
              <w:rPr>
                <w:rFonts w:eastAsia="MS Mincho"/>
                <w:sz w:val="14"/>
                <w:szCs w:val="14"/>
                <w:lang w:val="en-GB" w:eastAsia="ja-JP"/>
              </w:rPr>
              <w:t>754 €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sidRPr="00BD1FD4">
              <w:rPr>
                <w:rFonts w:eastAsia="MS Mincho"/>
                <w:sz w:val="14"/>
                <w:szCs w:val="14"/>
                <w:lang w:val="en-GB" w:eastAsia="ja-JP"/>
              </w:rPr>
              <w:t>291</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42.</w:t>
            </w:r>
            <w:r w:rsidRPr="00BD1FD4">
              <w:rPr>
                <w:rFonts w:eastAsia="MS Mincho"/>
                <w:sz w:val="14"/>
                <w:szCs w:val="14"/>
                <w:lang w:val="en-GB" w:eastAsia="ja-JP"/>
              </w:rPr>
              <w:t>827 €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w:t>
            </w:r>
            <w:r w:rsidRPr="00BD1FD4">
              <w:rPr>
                <w:rFonts w:eastAsia="MS Mincho"/>
                <w:sz w:val="14"/>
                <w:szCs w:val="14"/>
                <w:lang w:val="en-GB" w:eastAsia="ja-JP"/>
              </w:rPr>
              <w:t>133</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MS Mincho"/>
                <w:sz w:val="14"/>
                <w:szCs w:val="14"/>
                <w:lang w:val="en-GB" w:eastAsia="ja-JP"/>
              </w:rPr>
            </w:pPr>
            <w:r>
              <w:rPr>
                <w:rFonts w:eastAsia="MS Mincho"/>
                <w:sz w:val="14"/>
                <w:szCs w:val="14"/>
                <w:lang w:val="en-GB" w:eastAsia="ja-JP"/>
              </w:rPr>
              <w:t>3,957.</w:t>
            </w:r>
            <w:r w:rsidR="00A80C9C" w:rsidRPr="00BD1FD4">
              <w:rPr>
                <w:rFonts w:eastAsia="MS Mincho"/>
                <w:sz w:val="14"/>
                <w:szCs w:val="14"/>
                <w:lang w:val="en-GB" w:eastAsia="ja-JP"/>
              </w:rPr>
              <w:t>581 €</w:t>
            </w:r>
          </w:p>
        </w:tc>
      </w:tr>
      <w:tr w:rsidR="00A80C9C" w:rsidRPr="00BD1FD4" w:rsidTr="00F274EE">
        <w:trPr>
          <w:trHeight w:val="255"/>
          <w:jc w:val="center"/>
        </w:trPr>
        <w:tc>
          <w:tcPr>
            <w:tcW w:w="908"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31/08/2017</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1,876</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3,328.865 €</w:t>
            </w:r>
          </w:p>
        </w:tc>
        <w:tc>
          <w:tcPr>
            <w:tcW w:w="815"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337</w:t>
            </w:r>
          </w:p>
        </w:tc>
        <w:tc>
          <w:tcPr>
            <w:tcW w:w="851"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156.448 €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1,615</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458.911 €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3,828</w:t>
            </w:r>
          </w:p>
        </w:tc>
        <w:tc>
          <w:tcPr>
            <w:tcW w:w="993"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3,944.224 €</w:t>
            </w:r>
          </w:p>
        </w:tc>
        <w:tc>
          <w:tcPr>
            <w:tcW w:w="850"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290</w:t>
            </w:r>
          </w:p>
        </w:tc>
        <w:tc>
          <w:tcPr>
            <w:tcW w:w="851" w:type="dxa"/>
            <w:tcBorders>
              <w:top w:val="single" w:sz="4" w:space="0" w:color="auto"/>
              <w:left w:val="single" w:sz="4" w:space="0" w:color="auto"/>
              <w:bottom w:val="single" w:sz="4" w:space="0" w:color="auto"/>
              <w:right w:val="single" w:sz="4" w:space="0" w:color="auto"/>
            </w:tcBorders>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43.104 €</w:t>
            </w:r>
          </w:p>
        </w:tc>
        <w:tc>
          <w:tcPr>
            <w:tcW w:w="850" w:type="dxa"/>
            <w:tcBorders>
              <w:top w:val="single" w:sz="4" w:space="0" w:color="auto"/>
              <w:left w:val="single" w:sz="4" w:space="0" w:color="auto"/>
              <w:bottom w:val="single" w:sz="4" w:space="0" w:color="auto"/>
              <w:right w:val="single" w:sz="4" w:space="0" w:color="auto"/>
            </w:tcBorders>
            <w:noWrap/>
          </w:tcPr>
          <w:p w:rsidR="00A80C9C" w:rsidRPr="00BD1FD4" w:rsidRDefault="00A80C9C" w:rsidP="00A80C9C">
            <w:pPr>
              <w:spacing w:after="0" w:line="240" w:lineRule="auto"/>
              <w:jc w:val="right"/>
              <w:rPr>
                <w:rFonts w:eastAsia="MS Mincho"/>
                <w:sz w:val="14"/>
                <w:szCs w:val="14"/>
                <w:lang w:val="en-GB" w:eastAsia="ja-JP"/>
              </w:rPr>
            </w:pPr>
            <w:r>
              <w:rPr>
                <w:rFonts w:eastAsia="MS Mincho"/>
                <w:sz w:val="14"/>
                <w:szCs w:val="14"/>
                <w:lang w:val="en-GB" w:eastAsia="ja-JP"/>
              </w:rPr>
              <w:t>4,118</w:t>
            </w:r>
          </w:p>
        </w:tc>
        <w:tc>
          <w:tcPr>
            <w:tcW w:w="992" w:type="dxa"/>
            <w:tcBorders>
              <w:top w:val="single" w:sz="4" w:space="0" w:color="auto"/>
              <w:left w:val="single" w:sz="4" w:space="0" w:color="auto"/>
              <w:bottom w:val="single" w:sz="4" w:space="0" w:color="auto"/>
              <w:right w:val="single" w:sz="4" w:space="0" w:color="auto"/>
            </w:tcBorders>
            <w:noWrap/>
          </w:tcPr>
          <w:p w:rsidR="00A80C9C" w:rsidRPr="00BD1FD4" w:rsidRDefault="00002520" w:rsidP="00A80C9C">
            <w:pPr>
              <w:spacing w:after="0" w:line="240" w:lineRule="auto"/>
              <w:jc w:val="right"/>
              <w:rPr>
                <w:rFonts w:eastAsia="MS Mincho"/>
                <w:sz w:val="14"/>
                <w:szCs w:val="14"/>
                <w:lang w:val="en-GB" w:eastAsia="ja-JP"/>
              </w:rPr>
            </w:pPr>
            <w:r>
              <w:rPr>
                <w:rFonts w:eastAsia="MS Mincho"/>
                <w:sz w:val="14"/>
                <w:szCs w:val="14"/>
                <w:lang w:val="en-GB" w:eastAsia="ja-JP"/>
              </w:rPr>
              <w:t>3,987.</w:t>
            </w:r>
            <w:r w:rsidR="00A80C9C">
              <w:rPr>
                <w:rFonts w:eastAsia="MS Mincho"/>
                <w:sz w:val="14"/>
                <w:szCs w:val="14"/>
                <w:lang w:val="en-GB" w:eastAsia="ja-JP"/>
              </w:rPr>
              <w:t>328 €</w:t>
            </w:r>
          </w:p>
        </w:tc>
      </w:tr>
    </w:tbl>
    <w:p w:rsidR="0051662F" w:rsidRDefault="0051662F" w:rsidP="0051662F"/>
    <w:p w:rsidR="0051662F" w:rsidRPr="00784A84" w:rsidRDefault="00784A84" w:rsidP="0051662F">
      <w:pPr>
        <w:rPr>
          <w:lang w:val="en-US"/>
        </w:rPr>
      </w:pPr>
      <w:r w:rsidRPr="00784A84">
        <w:rPr>
          <w:lang w:val="en-US"/>
        </w:rPr>
        <w:t>During the month under review, the following 10 undertakings for collective investment have been registered on the official list:</w:t>
      </w:r>
    </w:p>
    <w:p w:rsidR="0051662F" w:rsidRPr="001F6F46" w:rsidRDefault="00784A84" w:rsidP="00AA0B2B">
      <w:pPr>
        <w:numPr>
          <w:ilvl w:val="0"/>
          <w:numId w:val="2"/>
        </w:numPr>
        <w:tabs>
          <w:tab w:val="clear" w:pos="1920"/>
          <w:tab w:val="num" w:pos="1080"/>
          <w:tab w:val="left" w:pos="1924"/>
          <w:tab w:val="left" w:pos="3848"/>
          <w:tab w:val="left" w:pos="5772"/>
          <w:tab w:val="left" w:pos="7697"/>
        </w:tabs>
        <w:spacing w:before="0" w:after="0" w:line="260" w:lineRule="atLeast"/>
        <w:ind w:right="45"/>
        <w:rPr>
          <w:b/>
          <w:lang w:val="fr-FR"/>
        </w:rPr>
      </w:pPr>
      <w:r>
        <w:rPr>
          <w:b/>
          <w:lang w:val="fr-FR"/>
        </w:rPr>
        <w:t>UCITS Part I 2010 Law</w:t>
      </w:r>
      <w:r w:rsidR="0051662F" w:rsidRPr="001F6F46">
        <w:rPr>
          <w:b/>
          <w:lang w:val="fr-FR"/>
        </w:rPr>
        <w:t>:</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de-LU"/>
        </w:rPr>
      </w:pPr>
      <w:r w:rsidRPr="001F6F46">
        <w:rPr>
          <w:lang w:val="de-LU"/>
        </w:rPr>
        <w:t>DEUTSCHE AM MULTI ASSET PIR FUND, 2, boulevard Konrad Adenauer, L-1115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INDOSUEZ ESTRATEGIA, 31-33, avenue Pasteur, L-2311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ITI FUNDS UCITS ETF SICAV, 20, boulevard Emmanuel Servais, L-2535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pPr>
      <w:r w:rsidRPr="001F6F46">
        <w:rPr>
          <w:lang w:val="fr-FR"/>
        </w:rPr>
        <w:t>MASAYUME FUND, 49, boulevard du Prince Henri, L-1724 Luxembourg</w:t>
      </w:r>
    </w:p>
    <w:p w:rsidR="0051662F" w:rsidRPr="001F6F46" w:rsidRDefault="0051662F" w:rsidP="0051662F">
      <w:pPr>
        <w:spacing w:before="0" w:after="0"/>
      </w:pPr>
    </w:p>
    <w:p w:rsidR="0051662F" w:rsidRPr="001F6F46" w:rsidRDefault="00784A84" w:rsidP="00AA0B2B">
      <w:pPr>
        <w:numPr>
          <w:ilvl w:val="0"/>
          <w:numId w:val="2"/>
        </w:numPr>
        <w:tabs>
          <w:tab w:val="clear" w:pos="1920"/>
          <w:tab w:val="num" w:pos="1080"/>
          <w:tab w:val="left" w:pos="1924"/>
          <w:tab w:val="left" w:pos="3848"/>
          <w:tab w:val="left" w:pos="5772"/>
          <w:tab w:val="left" w:pos="7697"/>
        </w:tabs>
        <w:spacing w:before="0" w:after="0" w:line="260" w:lineRule="atLeast"/>
        <w:ind w:right="45"/>
        <w:rPr>
          <w:b/>
          <w:lang w:val="fr-FR"/>
        </w:rPr>
      </w:pPr>
      <w:r>
        <w:rPr>
          <w:b/>
          <w:lang w:val="fr-FR"/>
        </w:rPr>
        <w:t>UCIs</w:t>
      </w:r>
      <w:r w:rsidR="0051662F">
        <w:rPr>
          <w:b/>
          <w:lang w:val="fr-FR"/>
        </w:rPr>
        <w:t xml:space="preserve"> </w:t>
      </w:r>
      <w:r>
        <w:rPr>
          <w:b/>
          <w:lang w:val="fr-FR"/>
        </w:rPr>
        <w:t>P</w:t>
      </w:r>
      <w:r w:rsidR="0051662F">
        <w:rPr>
          <w:b/>
          <w:lang w:val="fr-FR"/>
        </w:rPr>
        <w:t xml:space="preserve">art II </w:t>
      </w:r>
      <w:r>
        <w:rPr>
          <w:b/>
          <w:lang w:val="fr-FR"/>
        </w:rPr>
        <w:t>2010 Law</w:t>
      </w:r>
      <w:r w:rsidR="0051662F" w:rsidRPr="001F6F46">
        <w:rPr>
          <w:b/>
          <w:lang w:val="fr-FR"/>
        </w:rPr>
        <w:t>:</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de-LU"/>
        </w:rPr>
      </w:pPr>
      <w:r w:rsidRPr="001F6F46">
        <w:rPr>
          <w:lang w:val="de-LU"/>
        </w:rPr>
        <w:t>FRANKFURTER, 15, rue de Flaxweiler, L-6776 Grevenmacher</w:t>
      </w:r>
    </w:p>
    <w:p w:rsidR="0051662F" w:rsidRPr="001F6F46" w:rsidRDefault="0051662F" w:rsidP="0051662F">
      <w:pPr>
        <w:spacing w:before="0" w:after="0"/>
        <w:rPr>
          <w:lang w:val="de-LU"/>
        </w:rPr>
      </w:pPr>
    </w:p>
    <w:p w:rsidR="0051662F" w:rsidRPr="001F6F46" w:rsidRDefault="00784A84" w:rsidP="00AA0B2B">
      <w:pPr>
        <w:numPr>
          <w:ilvl w:val="0"/>
          <w:numId w:val="2"/>
        </w:numPr>
        <w:tabs>
          <w:tab w:val="clear" w:pos="1920"/>
          <w:tab w:val="num" w:pos="1080"/>
          <w:tab w:val="left" w:pos="1924"/>
          <w:tab w:val="left" w:pos="3848"/>
          <w:tab w:val="left" w:pos="5772"/>
          <w:tab w:val="left" w:pos="7697"/>
        </w:tabs>
        <w:spacing w:before="0" w:after="0" w:line="260" w:lineRule="atLeast"/>
        <w:ind w:right="45"/>
        <w:rPr>
          <w:b/>
          <w:lang w:val="fr-FR"/>
        </w:rPr>
      </w:pPr>
      <w:r>
        <w:rPr>
          <w:b/>
          <w:lang w:val="fr-FR"/>
        </w:rPr>
        <w:t>SIFs</w:t>
      </w:r>
      <w:r w:rsidR="0051662F" w:rsidRPr="001F6F46">
        <w:rPr>
          <w:b/>
          <w:lang w:val="fr-FR"/>
        </w:rPr>
        <w:t>:</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BANTLEON SIF SICAV, 33A, avenue J-F Kennedy, L-1855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BOUWFONDS EUROPEAN STUDENT HOUSING FUND II, 2, place François-Joseph Dargent, L-1413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FRANKLIN TEMPLETON ALTERNATIVE INVESTMENT FUNDS FCP-SIF, 8A, rue Albert Borschette, L-1246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en-US"/>
        </w:rPr>
      </w:pPr>
      <w:r w:rsidRPr="001F6F46">
        <w:rPr>
          <w:lang w:val="en-US"/>
        </w:rPr>
        <w:t>NUCLEAR INVESTMENT FUND S.A. SICAV-SIF, 5, allée Scheffer, L-2520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en-US"/>
        </w:rPr>
      </w:pPr>
      <w:r w:rsidRPr="001F6F46">
        <w:rPr>
          <w:lang w:val="fr-FR"/>
        </w:rPr>
        <w:t>OCEAN GROUP CAPITAL II, S.A. SICAV-SIF, 30, boulevard Royal, L-2449 Luxembourg</w:t>
      </w:r>
    </w:p>
    <w:p w:rsidR="0051662F" w:rsidRPr="001F6F46" w:rsidRDefault="0051662F" w:rsidP="0051662F">
      <w:pPr>
        <w:spacing w:before="0" w:after="0"/>
        <w:rPr>
          <w:lang w:val="en-US"/>
        </w:rPr>
      </w:pPr>
    </w:p>
    <w:p w:rsidR="0051662F" w:rsidRPr="001F6F46" w:rsidRDefault="0051662F" w:rsidP="00AA0B2B">
      <w:pPr>
        <w:numPr>
          <w:ilvl w:val="0"/>
          <w:numId w:val="2"/>
        </w:numPr>
        <w:tabs>
          <w:tab w:val="clear" w:pos="1920"/>
          <w:tab w:val="num" w:pos="1080"/>
          <w:tab w:val="left" w:pos="1924"/>
          <w:tab w:val="left" w:pos="3848"/>
          <w:tab w:val="left" w:pos="5772"/>
          <w:tab w:val="left" w:pos="7697"/>
        </w:tabs>
        <w:spacing w:before="0" w:after="0" w:line="260" w:lineRule="atLeast"/>
        <w:ind w:right="45"/>
        <w:rPr>
          <w:b/>
          <w:lang w:val="fr-FR"/>
        </w:rPr>
      </w:pPr>
      <w:r w:rsidRPr="001F6F46">
        <w:rPr>
          <w:b/>
          <w:lang w:val="fr-FR"/>
        </w:rPr>
        <w:t>SICAR</w:t>
      </w:r>
      <w:r w:rsidR="00784A84">
        <w:rPr>
          <w:b/>
          <w:lang w:val="fr-FR"/>
        </w:rPr>
        <w:t>s</w:t>
      </w:r>
      <w:r w:rsidRPr="001F6F46">
        <w:rPr>
          <w:b/>
          <w:lang w:val="fr-FR"/>
        </w:rPr>
        <w:t>:</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en-US"/>
        </w:rPr>
      </w:pPr>
      <w:r w:rsidRPr="001F6F46">
        <w:rPr>
          <w:lang w:val="fr-FR"/>
        </w:rPr>
        <w:t>-</w:t>
      </w:r>
    </w:p>
    <w:p w:rsidR="0051662F" w:rsidRPr="001F6F46" w:rsidRDefault="0051662F" w:rsidP="0051662F">
      <w:pPr>
        <w:rPr>
          <w:lang w:val="en-US"/>
        </w:rPr>
      </w:pPr>
    </w:p>
    <w:p w:rsidR="008E4D30" w:rsidRDefault="008E4D30">
      <w:pPr>
        <w:spacing w:before="0" w:after="0" w:line="240" w:lineRule="auto"/>
        <w:jc w:val="left"/>
        <w:rPr>
          <w:lang w:val="fr-FR"/>
        </w:rPr>
      </w:pPr>
      <w:r>
        <w:rPr>
          <w:lang w:val="fr-FR"/>
        </w:rPr>
        <w:br w:type="page"/>
      </w:r>
    </w:p>
    <w:p w:rsidR="0051662F" w:rsidRPr="00784A84" w:rsidRDefault="00784A84" w:rsidP="0051662F">
      <w:pPr>
        <w:rPr>
          <w:lang w:val="en-US"/>
        </w:rPr>
      </w:pPr>
      <w:r w:rsidRPr="00784A84">
        <w:rPr>
          <w:lang w:val="en-US"/>
        </w:rPr>
        <w:lastRenderedPageBreak/>
        <w:t>The following 25 undertakings for collective investment have been deregistered from the official list during the month under review:</w:t>
      </w:r>
    </w:p>
    <w:p w:rsidR="0051662F" w:rsidRPr="001F6F46" w:rsidRDefault="00784A84" w:rsidP="00AA0B2B">
      <w:pPr>
        <w:numPr>
          <w:ilvl w:val="0"/>
          <w:numId w:val="4"/>
        </w:numPr>
        <w:tabs>
          <w:tab w:val="clear" w:pos="1440"/>
          <w:tab w:val="left" w:pos="1924"/>
          <w:tab w:val="left" w:pos="3848"/>
          <w:tab w:val="left" w:pos="5772"/>
          <w:tab w:val="left" w:pos="7697"/>
        </w:tabs>
        <w:spacing w:before="0" w:after="0" w:line="260" w:lineRule="atLeast"/>
        <w:ind w:left="1985" w:right="45" w:hanging="425"/>
        <w:rPr>
          <w:b/>
          <w:lang w:val="fr-FR"/>
        </w:rPr>
      </w:pPr>
      <w:r>
        <w:rPr>
          <w:b/>
          <w:lang w:val="fr-FR"/>
        </w:rPr>
        <w:t>UCITS Part I 2010 Law</w:t>
      </w:r>
      <w:r w:rsidR="0051662F" w:rsidRPr="001F6F46">
        <w:rPr>
          <w:b/>
          <w:lang w:val="fr-FR"/>
        </w:rPr>
        <w:t>:</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ACE ASSET MANAGEMENT - SICAV, 106, route d'Arlon, L-8210 Mamer</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CANDRIAM TOTAL RETURN II, 136, route d'Arlon, L-1150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CASTELL CONCEPT, 15, avenue J-F Kennedy, L-1855 Luxembourg</w:t>
      </w:r>
    </w:p>
    <w:p w:rsidR="0051662F" w:rsidRPr="0051662F" w:rsidRDefault="0051662F" w:rsidP="00AA0B2B">
      <w:pPr>
        <w:numPr>
          <w:ilvl w:val="0"/>
          <w:numId w:val="3"/>
        </w:numPr>
        <w:tabs>
          <w:tab w:val="left" w:pos="1924"/>
          <w:tab w:val="left" w:pos="3848"/>
          <w:tab w:val="left" w:pos="5772"/>
          <w:tab w:val="left" w:pos="7697"/>
        </w:tabs>
        <w:spacing w:before="0" w:after="0" w:line="260" w:lineRule="atLeast"/>
        <w:ind w:right="45"/>
        <w:rPr>
          <w:lang w:val="de-DE"/>
        </w:rPr>
      </w:pPr>
      <w:r w:rsidRPr="0051662F">
        <w:rPr>
          <w:lang w:val="de-DE"/>
        </w:rPr>
        <w:t>DB OPPORTUNITY, 2, boulevard Konrad Adenauer, L-1115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DIAPASON COMMODITIES, 6, route de Trèves, L-2633 Senningerberg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en-US"/>
        </w:rPr>
      </w:pPr>
      <w:r w:rsidRPr="001F6F46">
        <w:rPr>
          <w:lang w:val="en-US"/>
        </w:rPr>
        <w:t>DMS UCITS PLATFORM FUND, 25-28, North Wall Quay, Dublin 1</w:t>
      </w:r>
      <w:r w:rsidRPr="001F6F46">
        <w:rPr>
          <w:vertAlign w:val="superscript"/>
          <w:lang w:val="fr-FR"/>
        </w:rPr>
        <w:footnoteReference w:id="5"/>
      </w:r>
    </w:p>
    <w:p w:rsidR="0051662F" w:rsidRPr="0051662F" w:rsidRDefault="0051662F" w:rsidP="00AA0B2B">
      <w:pPr>
        <w:numPr>
          <w:ilvl w:val="0"/>
          <w:numId w:val="3"/>
        </w:numPr>
        <w:tabs>
          <w:tab w:val="left" w:pos="1924"/>
          <w:tab w:val="left" w:pos="3848"/>
          <w:tab w:val="left" w:pos="5772"/>
          <w:tab w:val="left" w:pos="7697"/>
        </w:tabs>
        <w:spacing w:before="0" w:after="0" w:line="260" w:lineRule="atLeast"/>
        <w:ind w:right="45"/>
        <w:rPr>
          <w:lang w:val="de-DE"/>
        </w:rPr>
      </w:pPr>
      <w:r w:rsidRPr="0051662F">
        <w:rPr>
          <w:lang w:val="de-DE"/>
        </w:rPr>
        <w:t>EUROSWITCH DEFENSIVE CONCEPTS OP, 2, boulevard Konrad Adenauer, L-1115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en-US"/>
        </w:rPr>
      </w:pPr>
      <w:r w:rsidRPr="001F6F46">
        <w:rPr>
          <w:lang w:val="en-US"/>
        </w:rPr>
        <w:t>FIDELITY ALPHA FUNDS SICAV, 2A, rue Albert Borschette, L-1246 Luxembourg</w:t>
      </w:r>
    </w:p>
    <w:p w:rsidR="0051662F" w:rsidRPr="0051662F" w:rsidRDefault="0051662F" w:rsidP="00AA0B2B">
      <w:pPr>
        <w:numPr>
          <w:ilvl w:val="0"/>
          <w:numId w:val="3"/>
        </w:numPr>
        <w:tabs>
          <w:tab w:val="left" w:pos="1924"/>
          <w:tab w:val="left" w:pos="3848"/>
          <w:tab w:val="left" w:pos="5772"/>
          <w:tab w:val="left" w:pos="7697"/>
        </w:tabs>
        <w:spacing w:before="0" w:after="0" w:line="260" w:lineRule="atLeast"/>
        <w:ind w:right="45"/>
        <w:rPr>
          <w:lang w:val="de-DE"/>
        </w:rPr>
      </w:pPr>
      <w:r w:rsidRPr="0051662F">
        <w:rPr>
          <w:lang w:val="de-DE"/>
        </w:rPr>
        <w:t>GLOCAP HAIG, 1C, rue Gabriel Lippmann, L-5365 Munsbach</w:t>
      </w:r>
    </w:p>
    <w:p w:rsidR="0051662F" w:rsidRPr="0051662F" w:rsidRDefault="0051662F" w:rsidP="00AA0B2B">
      <w:pPr>
        <w:numPr>
          <w:ilvl w:val="0"/>
          <w:numId w:val="3"/>
        </w:numPr>
        <w:tabs>
          <w:tab w:val="left" w:pos="1924"/>
          <w:tab w:val="left" w:pos="3848"/>
          <w:tab w:val="left" w:pos="5772"/>
          <w:tab w:val="left" w:pos="7697"/>
        </w:tabs>
        <w:spacing w:before="0" w:after="0" w:line="260" w:lineRule="atLeast"/>
        <w:ind w:right="45"/>
        <w:rPr>
          <w:lang w:val="de-DE"/>
        </w:rPr>
      </w:pPr>
      <w:r w:rsidRPr="0051662F">
        <w:rPr>
          <w:lang w:val="de-DE"/>
        </w:rPr>
        <w:t>H &amp; A STABILITÄTSWÄHRUNGEN, 1C, rue Gabriel Lippmann, L-5365 Munsbach</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PIONEER INSTITUTIONAL FUNDS, 8-10, rue Jean Monnet, L-2180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UNIPROFIANLAGE (2017), 308, route d'Esch, L-1471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UNIPROFIANLAGE (2017/II), 308, route d'Esch, L-1471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en-US"/>
        </w:rPr>
      </w:pPr>
      <w:r w:rsidRPr="001F6F46">
        <w:rPr>
          <w:lang w:val="en-US"/>
        </w:rPr>
        <w:t>VAN ECK, 49, avenue J-F Kennedy, L-1855 Luxembourg</w:t>
      </w:r>
    </w:p>
    <w:p w:rsidR="0051662F" w:rsidRPr="001F6F46" w:rsidRDefault="0051662F" w:rsidP="0051662F">
      <w:pPr>
        <w:spacing w:before="0" w:after="0"/>
        <w:rPr>
          <w:lang w:val="en-US"/>
        </w:rPr>
      </w:pPr>
    </w:p>
    <w:p w:rsidR="0051662F" w:rsidRPr="001F6F46" w:rsidRDefault="00784A84" w:rsidP="00AA0B2B">
      <w:pPr>
        <w:numPr>
          <w:ilvl w:val="0"/>
          <w:numId w:val="4"/>
        </w:numPr>
        <w:tabs>
          <w:tab w:val="clear" w:pos="1440"/>
          <w:tab w:val="left" w:pos="1924"/>
          <w:tab w:val="num" w:pos="1985"/>
          <w:tab w:val="left" w:pos="3848"/>
          <w:tab w:val="left" w:pos="5772"/>
          <w:tab w:val="left" w:pos="7697"/>
        </w:tabs>
        <w:spacing w:before="0" w:after="0" w:line="260" w:lineRule="atLeast"/>
        <w:ind w:left="1985" w:right="45" w:hanging="425"/>
        <w:rPr>
          <w:b/>
          <w:lang w:val="fr-FR"/>
        </w:rPr>
      </w:pPr>
      <w:r>
        <w:rPr>
          <w:b/>
          <w:lang w:val="fr-FR"/>
        </w:rPr>
        <w:t>UCIs Part II 2010 Law</w:t>
      </w:r>
      <w:r w:rsidR="0051662F" w:rsidRPr="001F6F46">
        <w:rPr>
          <w:b/>
          <w:lang w:val="fr-FR"/>
        </w:rPr>
        <w:t>:</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ALBERGO, 15, rue de Flaxweiler, L-6776 Grevenmacher</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pPr>
      <w:r w:rsidRPr="001F6F46">
        <w:rPr>
          <w:lang w:val="fr-FR"/>
        </w:rPr>
        <w:t>UNIGARANT: COMMODITIES (2017) II, 308, route d'Esch, L-1471 Luxembourg</w:t>
      </w:r>
    </w:p>
    <w:p w:rsidR="0051662F" w:rsidRPr="001F6F46" w:rsidRDefault="0051662F" w:rsidP="0051662F">
      <w:pPr>
        <w:spacing w:before="0" w:after="0"/>
        <w:rPr>
          <w:b/>
        </w:rPr>
      </w:pPr>
    </w:p>
    <w:p w:rsidR="0051662F" w:rsidRPr="001F6F46" w:rsidRDefault="00784A84" w:rsidP="00AA0B2B">
      <w:pPr>
        <w:numPr>
          <w:ilvl w:val="0"/>
          <w:numId w:val="4"/>
        </w:numPr>
        <w:tabs>
          <w:tab w:val="clear" w:pos="1440"/>
          <w:tab w:val="left" w:pos="1924"/>
          <w:tab w:val="num" w:pos="1985"/>
          <w:tab w:val="left" w:pos="3848"/>
          <w:tab w:val="left" w:pos="5772"/>
          <w:tab w:val="left" w:pos="7697"/>
        </w:tabs>
        <w:spacing w:before="0" w:after="0" w:line="260" w:lineRule="atLeast"/>
        <w:ind w:left="1985" w:right="45" w:hanging="425"/>
        <w:rPr>
          <w:b/>
          <w:lang w:val="fr-FR"/>
        </w:rPr>
      </w:pPr>
      <w:r>
        <w:rPr>
          <w:b/>
          <w:lang w:val="fr-FR"/>
        </w:rPr>
        <w:t>SIFs</w:t>
      </w:r>
      <w:r w:rsidR="0051662F" w:rsidRPr="001F6F46">
        <w:rPr>
          <w:b/>
          <w:lang w:val="fr-FR"/>
        </w:rPr>
        <w:t>:</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AVIVA INVESTORS INTERNATIONAL FUND, 2, rue du Fort Bourbon, L-1249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en-US"/>
        </w:rPr>
      </w:pPr>
      <w:r w:rsidRPr="001F6F46">
        <w:rPr>
          <w:lang w:val="en-US"/>
        </w:rPr>
        <w:t>FENICE SICAV-SIF SCA, 6A, rue Gabriel Lippmann, L-5365 Munsbach</w:t>
      </w:r>
    </w:p>
    <w:p w:rsidR="0051662F" w:rsidRPr="00FF5C96" w:rsidRDefault="0051662F" w:rsidP="00AA0B2B">
      <w:pPr>
        <w:numPr>
          <w:ilvl w:val="0"/>
          <w:numId w:val="3"/>
        </w:numPr>
        <w:tabs>
          <w:tab w:val="left" w:pos="1924"/>
          <w:tab w:val="left" w:pos="3848"/>
          <w:tab w:val="left" w:pos="5772"/>
          <w:tab w:val="left" w:pos="7697"/>
        </w:tabs>
        <w:spacing w:before="0" w:after="0" w:line="260" w:lineRule="atLeast"/>
        <w:ind w:right="45"/>
        <w:rPr>
          <w:lang w:val="de-DE"/>
        </w:rPr>
      </w:pPr>
      <w:r w:rsidRPr="00FF5C96">
        <w:rPr>
          <w:lang w:val="de-DE"/>
        </w:rPr>
        <w:t>GLL EUROPA FONDS DES VERSORGUNGSWERKS DER RAE NRW, 15, rue Bender, L-1229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ICG ALTERNATIVE CREDIT (LUXEMBOURG) SICAV-SIF SCA, 5, allée Scheffer, L-2520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NORDIC RETAIL FUND, 2-8, avenue Charles de Gaulle, L-1653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en-US"/>
        </w:rPr>
      </w:pPr>
      <w:r w:rsidRPr="001F6F46">
        <w:rPr>
          <w:lang w:val="en-US"/>
        </w:rPr>
        <w:t>RURAL IMPULSE FUND S.A., SICAV-FIS, 11, rue Aldringen, L-1118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TAURUS INVEST FCP-FIS, 26, avenue de la Liberté, L-1930 Luxembourg</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rPr>
          <w:lang w:val="fr-FR"/>
        </w:rPr>
      </w:pPr>
      <w:r w:rsidRPr="001F6F46">
        <w:rPr>
          <w:lang w:val="fr-FR"/>
        </w:rPr>
        <w:t>VALPIC, 15, avenue J-F Kennedy, L-1855 Luxembourg</w:t>
      </w:r>
    </w:p>
    <w:p w:rsidR="0051662F" w:rsidRPr="001F6F46" w:rsidRDefault="0051662F" w:rsidP="0051662F">
      <w:pPr>
        <w:spacing w:before="0" w:after="0"/>
      </w:pPr>
    </w:p>
    <w:p w:rsidR="0051662F" w:rsidRPr="001F6F46" w:rsidRDefault="0051662F" w:rsidP="00AA0B2B">
      <w:pPr>
        <w:numPr>
          <w:ilvl w:val="0"/>
          <w:numId w:val="4"/>
        </w:numPr>
        <w:tabs>
          <w:tab w:val="clear" w:pos="1440"/>
          <w:tab w:val="left" w:pos="1924"/>
          <w:tab w:val="num" w:pos="1985"/>
          <w:tab w:val="left" w:pos="3848"/>
          <w:tab w:val="left" w:pos="5772"/>
          <w:tab w:val="left" w:pos="7697"/>
        </w:tabs>
        <w:spacing w:before="0" w:after="0" w:line="260" w:lineRule="atLeast"/>
        <w:ind w:left="1985" w:right="45" w:hanging="425"/>
        <w:rPr>
          <w:b/>
          <w:lang w:val="fr-FR"/>
        </w:rPr>
      </w:pPr>
      <w:r w:rsidRPr="001F6F46">
        <w:rPr>
          <w:b/>
          <w:lang w:val="fr-FR"/>
        </w:rPr>
        <w:t>SICAR</w:t>
      </w:r>
      <w:r w:rsidR="00784A84">
        <w:rPr>
          <w:b/>
          <w:lang w:val="fr-FR"/>
        </w:rPr>
        <w:t>s</w:t>
      </w:r>
      <w:r w:rsidRPr="001F6F46">
        <w:rPr>
          <w:b/>
          <w:lang w:val="fr-FR"/>
        </w:rPr>
        <w:t>:</w:t>
      </w:r>
    </w:p>
    <w:p w:rsidR="0051662F" w:rsidRPr="001F6F46" w:rsidRDefault="0051662F" w:rsidP="00AA0B2B">
      <w:pPr>
        <w:numPr>
          <w:ilvl w:val="0"/>
          <w:numId w:val="3"/>
        </w:numPr>
        <w:tabs>
          <w:tab w:val="left" w:pos="1924"/>
          <w:tab w:val="left" w:pos="3848"/>
          <w:tab w:val="left" w:pos="5772"/>
          <w:tab w:val="left" w:pos="7697"/>
        </w:tabs>
        <w:spacing w:before="0" w:after="0" w:line="260" w:lineRule="atLeast"/>
        <w:ind w:right="45"/>
      </w:pPr>
      <w:r w:rsidRPr="001F6F46">
        <w:t>OPTIMUM IMMO S.A., SICAR, 12, rue Eugène Ruppert, L-2453 Luxembourg</w:t>
      </w:r>
    </w:p>
    <w:p w:rsidR="0051662F" w:rsidRPr="001F6F46" w:rsidRDefault="0051662F" w:rsidP="00734B9C"/>
    <w:p w:rsidR="00A0518B" w:rsidRPr="00D7691C" w:rsidRDefault="00D7691C" w:rsidP="00734B9C">
      <w:pPr>
        <w:pStyle w:val="Heading2"/>
        <w:rPr>
          <w:lang w:val="en-US"/>
        </w:rPr>
      </w:pPr>
      <w:r w:rsidRPr="00D7691C">
        <w:rPr>
          <w:lang w:val="en-US"/>
        </w:rPr>
        <w:t>Mandatory use of legal entity identif</w:t>
      </w:r>
      <w:r>
        <w:rPr>
          <w:lang w:val="en-US"/>
        </w:rPr>
        <w:t>i</w:t>
      </w:r>
      <w:r w:rsidRPr="00D7691C">
        <w:rPr>
          <w:lang w:val="en-US"/>
        </w:rPr>
        <w:t>er</w:t>
      </w:r>
      <w:r>
        <w:rPr>
          <w:lang w:val="en-US"/>
        </w:rPr>
        <w:t xml:space="preserve"> (LEI) under MiFID II/MiFIR and EMIR</w:t>
      </w:r>
    </w:p>
    <w:p w:rsidR="00734B9C" w:rsidRPr="00CD45BF" w:rsidRDefault="00734B9C" w:rsidP="00734B9C">
      <w:pPr>
        <w:pStyle w:val="Heading3"/>
        <w:rPr>
          <w:lang w:val="en-US"/>
        </w:rPr>
      </w:pPr>
      <w:r w:rsidRPr="00CD45BF">
        <w:rPr>
          <w:lang w:val="en-US"/>
        </w:rPr>
        <w:t xml:space="preserve">Communiqué </w:t>
      </w:r>
      <w:r w:rsidR="00D7691C" w:rsidRPr="00CD45BF">
        <w:rPr>
          <w:lang w:val="en-US"/>
        </w:rPr>
        <w:t>of</w:t>
      </w:r>
      <w:r w:rsidRPr="00CD45BF">
        <w:rPr>
          <w:lang w:val="en-US"/>
        </w:rPr>
        <w:t xml:space="preserve"> 12 </w:t>
      </w:r>
      <w:r w:rsidR="00D7691C" w:rsidRPr="00CD45BF">
        <w:rPr>
          <w:lang w:val="en-US"/>
        </w:rPr>
        <w:t>O</w:t>
      </w:r>
      <w:r w:rsidRPr="00CD45BF">
        <w:rPr>
          <w:lang w:val="en-US"/>
        </w:rPr>
        <w:t>ctob</w:t>
      </w:r>
      <w:r w:rsidR="00D7691C" w:rsidRPr="00CD45BF">
        <w:rPr>
          <w:lang w:val="en-US"/>
        </w:rPr>
        <w:t xml:space="preserve">er 2017 </w:t>
      </w:r>
    </w:p>
    <w:p w:rsidR="00734B9C" w:rsidRPr="003B1ED0" w:rsidRDefault="00734B9C" w:rsidP="00734B9C">
      <w:pPr>
        <w:rPr>
          <w:lang w:val="en-US"/>
        </w:rPr>
      </w:pPr>
      <w:r w:rsidRPr="003B1ED0">
        <w:rPr>
          <w:lang w:val="en-US"/>
        </w:rPr>
        <w:t xml:space="preserve">With reference to the upcoming entry into force of Directive 2014/65/EU (MiFID II) and Regulation (EU) No 600/2014 (MiFIR), the European Securities and Market Authority (ESMA) released a </w:t>
      </w:r>
      <w:hyperlink r:id="rId64" w:history="1">
        <w:r w:rsidRPr="003A4453">
          <w:rPr>
            <w:rStyle w:val="Hyperlink"/>
            <w:lang w:val="en-US"/>
          </w:rPr>
          <w:t>statement</w:t>
        </w:r>
      </w:hyperlink>
      <w:r w:rsidRPr="003B1ED0">
        <w:rPr>
          <w:lang w:val="en-US"/>
        </w:rPr>
        <w:t xml:space="preserve"> providing information to the various entities required to use a Legal Entity Identifier (LEI). </w:t>
      </w:r>
    </w:p>
    <w:p w:rsidR="00734B9C" w:rsidRPr="00734B9C" w:rsidRDefault="00734B9C" w:rsidP="00734B9C">
      <w:pPr>
        <w:spacing w:after="360"/>
        <w:rPr>
          <w:lang w:val="en-US"/>
        </w:rPr>
      </w:pPr>
      <w:r w:rsidRPr="003B1ED0">
        <w:rPr>
          <w:lang w:val="en-US"/>
        </w:rPr>
        <w:t>In this context the CSSF would like to remind that, under the new EMIR reporting requirements</w:t>
      </w:r>
      <w:r>
        <w:rPr>
          <w:rStyle w:val="FootnoteReference"/>
          <w:lang w:val="en-US"/>
        </w:rPr>
        <w:footnoteReference w:id="6"/>
      </w:r>
      <w:r w:rsidRPr="003B1ED0">
        <w:rPr>
          <w:lang w:val="en-US"/>
        </w:rPr>
        <w:t xml:space="preserve">, the LEI will be mandatory as of 1 November 2017 to identify the counterparty in a derivative transaction </w:t>
      </w:r>
      <w:r w:rsidRPr="003B1ED0">
        <w:rPr>
          <w:lang w:val="en-US"/>
        </w:rPr>
        <w:lastRenderedPageBreak/>
        <w:t>(i.e. reporting counterparty ID) and that, in order to accept the EMIR reports, trade repositories will check the LEI of the reporting counterparty with the GLEIF database.</w:t>
      </w:r>
    </w:p>
    <w:p w:rsidR="00460449" w:rsidRPr="00D7691C" w:rsidRDefault="00460449" w:rsidP="00180FE9">
      <w:pPr>
        <w:pStyle w:val="Heading1"/>
        <w:spacing w:before="0"/>
        <w:rPr>
          <w:lang w:val="en-US"/>
        </w:rPr>
      </w:pPr>
      <w:r w:rsidRPr="00D7691C">
        <w:rPr>
          <w:lang w:val="en-US"/>
        </w:rPr>
        <w:t>STATISTI</w:t>
      </w:r>
      <w:r w:rsidR="00E35E9D">
        <w:rPr>
          <w:lang w:val="en-US"/>
        </w:rPr>
        <w:t>C</w:t>
      </w:r>
      <w:r w:rsidRPr="00D7691C">
        <w:rPr>
          <w:lang w:val="en-US"/>
        </w:rPr>
        <w:t>S</w:t>
      </w:r>
    </w:p>
    <w:p w:rsidR="00DC10DE" w:rsidRPr="00D7691C" w:rsidRDefault="00DC10DE" w:rsidP="00DC10DE">
      <w:pPr>
        <w:pStyle w:val="Heading2"/>
        <w:rPr>
          <w:lang w:val="en-US"/>
        </w:rPr>
      </w:pPr>
      <w:r w:rsidRPr="00D7691C">
        <w:rPr>
          <w:lang w:val="en-US"/>
        </w:rPr>
        <w:t>Ban</w:t>
      </w:r>
      <w:r w:rsidR="00D7691C" w:rsidRPr="00D7691C">
        <w:rPr>
          <w:lang w:val="en-US"/>
        </w:rPr>
        <w:t>k</w:t>
      </w:r>
      <w:r w:rsidRPr="00D7691C">
        <w:rPr>
          <w:lang w:val="en-US"/>
        </w:rPr>
        <w:t>s</w:t>
      </w:r>
    </w:p>
    <w:p w:rsidR="00734B9C" w:rsidRPr="00D7691C" w:rsidRDefault="00D7691C" w:rsidP="007A2EE8">
      <w:pPr>
        <w:pStyle w:val="Heading3"/>
        <w:jc w:val="center"/>
        <w:rPr>
          <w:lang w:val="en-US"/>
        </w:rPr>
      </w:pPr>
      <w:r w:rsidRPr="00D7691C">
        <w:rPr>
          <w:lang w:val="en-US"/>
        </w:rPr>
        <w:t>Decrease in the balance sheet total as at 30 June 2017</w:t>
      </w:r>
    </w:p>
    <w:p w:rsidR="00DC10DE" w:rsidRPr="000F3F2E" w:rsidRDefault="003022B7" w:rsidP="000F3F2E">
      <w:pPr>
        <w:pStyle w:val="BodyText"/>
        <w:spacing w:after="720"/>
        <w:ind w:right="74"/>
        <w:jc w:val="center"/>
        <w:rPr>
          <w:lang w:val="fr-LU"/>
        </w:rPr>
      </w:pPr>
      <w:r>
        <w:rPr>
          <w:noProof/>
          <w:lang w:val="fr-LU" w:eastAsia="fr-LU"/>
        </w:rPr>
        <w:drawing>
          <wp:inline distT="0" distB="0" distL="0" distR="0" wp14:anchorId="2F115348">
            <wp:extent cx="45847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0449" w:rsidRPr="009B6DB3" w:rsidRDefault="009B6DB3" w:rsidP="009E772E">
      <w:pPr>
        <w:pStyle w:val="Heading2"/>
        <w:rPr>
          <w:lang w:val="en-US"/>
        </w:rPr>
      </w:pPr>
      <w:r w:rsidRPr="009B6DB3">
        <w:rPr>
          <w:lang w:val="en-US"/>
        </w:rPr>
        <w:t>Investment firms</w:t>
      </w:r>
    </w:p>
    <w:p w:rsidR="00460449" w:rsidRPr="009B6DB3" w:rsidRDefault="009B6DB3" w:rsidP="006576EE">
      <w:pPr>
        <w:pStyle w:val="Heading3"/>
        <w:ind w:left="0"/>
        <w:jc w:val="center"/>
        <w:rPr>
          <w:lang w:val="en-US"/>
        </w:rPr>
      </w:pPr>
      <w:r w:rsidRPr="009B6DB3">
        <w:rPr>
          <w:lang w:val="en-US"/>
        </w:rPr>
        <w:t>Decrease in the balance sheet total as at 31 August 2017</w:t>
      </w:r>
    </w:p>
    <w:p w:rsidR="00460449" w:rsidRPr="00C512F3" w:rsidRDefault="003022B7" w:rsidP="00CE44FC">
      <w:pPr>
        <w:pStyle w:val="BodyText"/>
        <w:spacing w:after="720"/>
        <w:ind w:right="74"/>
        <w:jc w:val="center"/>
        <w:rPr>
          <w:lang w:val="fr-LU"/>
        </w:rPr>
      </w:pPr>
      <w:r>
        <w:rPr>
          <w:noProof/>
          <w:lang w:val="fr-LU" w:eastAsia="fr-LU"/>
        </w:rPr>
        <w:drawing>
          <wp:inline distT="0" distB="0" distL="0" distR="0" wp14:anchorId="5280257A">
            <wp:extent cx="4584700" cy="2755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0449" w:rsidRPr="009B6DB3" w:rsidRDefault="009B6DB3" w:rsidP="009E772E">
      <w:pPr>
        <w:pStyle w:val="Heading2"/>
        <w:rPr>
          <w:lang w:val="en-US"/>
        </w:rPr>
      </w:pPr>
      <w:r w:rsidRPr="009B6DB3">
        <w:rPr>
          <w:lang w:val="en-US"/>
        </w:rPr>
        <w:lastRenderedPageBreak/>
        <w:t>Specialised PFS</w:t>
      </w:r>
    </w:p>
    <w:p w:rsidR="00460449" w:rsidRPr="009B6DB3" w:rsidRDefault="009B6DB3" w:rsidP="006576EE">
      <w:pPr>
        <w:pStyle w:val="Heading3"/>
        <w:ind w:left="0"/>
        <w:jc w:val="center"/>
        <w:rPr>
          <w:lang w:val="en-US"/>
        </w:rPr>
      </w:pPr>
      <w:r w:rsidRPr="009B6DB3">
        <w:rPr>
          <w:lang w:val="en-US"/>
        </w:rPr>
        <w:t>Decrease in the balance sheet total as at 31 August 2017</w:t>
      </w:r>
    </w:p>
    <w:p w:rsidR="00460449" w:rsidRPr="00C512F3" w:rsidRDefault="003022B7" w:rsidP="00CE44FC">
      <w:pPr>
        <w:pStyle w:val="BodyText"/>
        <w:spacing w:after="720"/>
        <w:ind w:right="74"/>
        <w:jc w:val="center"/>
        <w:rPr>
          <w:lang w:val="fr-LU"/>
        </w:rPr>
      </w:pPr>
      <w:r>
        <w:rPr>
          <w:noProof/>
          <w:lang w:val="fr-LU" w:eastAsia="fr-LU"/>
        </w:rPr>
        <w:drawing>
          <wp:inline distT="0" distB="0" distL="0" distR="0" wp14:anchorId="7EA193A5">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0449" w:rsidRPr="009B6DB3" w:rsidRDefault="009B6DB3" w:rsidP="009E772E">
      <w:pPr>
        <w:pStyle w:val="Heading2"/>
        <w:rPr>
          <w:lang w:val="en-US"/>
        </w:rPr>
      </w:pPr>
      <w:r w:rsidRPr="009B6DB3">
        <w:rPr>
          <w:lang w:val="en-US"/>
        </w:rPr>
        <w:t>Support PFS</w:t>
      </w:r>
    </w:p>
    <w:p w:rsidR="00460449" w:rsidRPr="009B6DB3" w:rsidRDefault="009B6DB3" w:rsidP="006576EE">
      <w:pPr>
        <w:pStyle w:val="Heading3"/>
        <w:ind w:left="0"/>
        <w:jc w:val="center"/>
        <w:rPr>
          <w:lang w:val="en-US"/>
        </w:rPr>
      </w:pPr>
      <w:r w:rsidRPr="009B6DB3">
        <w:rPr>
          <w:lang w:val="en-US"/>
        </w:rPr>
        <w:t>Increase in the balance sheet total as at 31 August 2017</w:t>
      </w:r>
    </w:p>
    <w:p w:rsidR="00460449" w:rsidRDefault="003022B7" w:rsidP="00CE44FC">
      <w:pPr>
        <w:pStyle w:val="BodyText"/>
        <w:spacing w:after="720"/>
        <w:ind w:right="74"/>
        <w:jc w:val="center"/>
        <w:rPr>
          <w:lang w:val="fr-LU"/>
        </w:rPr>
      </w:pPr>
      <w:r>
        <w:rPr>
          <w:noProof/>
          <w:lang w:val="fr-LU" w:eastAsia="fr-LU"/>
        </w:rPr>
        <w:drawing>
          <wp:inline distT="0" distB="0" distL="0" distR="0" wp14:anchorId="34F79EB0">
            <wp:extent cx="45847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D6D9E" w:rsidRPr="00C512F3" w:rsidRDefault="00AD6D9E" w:rsidP="00AD6D9E"/>
    <w:p w:rsidR="008B5F5C" w:rsidRDefault="008B5F5C">
      <w:pPr>
        <w:spacing w:before="0" w:after="0" w:line="240" w:lineRule="auto"/>
        <w:jc w:val="left"/>
        <w:rPr>
          <w:rFonts w:eastAsiaTheme="majorEastAsia" w:cstheme="majorBidi"/>
          <w:b/>
          <w:color w:val="1F4E79" w:themeColor="accent1" w:themeShade="80"/>
          <w:sz w:val="24"/>
          <w:szCs w:val="26"/>
        </w:rPr>
      </w:pPr>
      <w:r>
        <w:br w:type="page"/>
      </w:r>
    </w:p>
    <w:p w:rsidR="00460449" w:rsidRPr="009B6DB3" w:rsidRDefault="009B6DB3" w:rsidP="009E772E">
      <w:pPr>
        <w:pStyle w:val="Heading2"/>
        <w:rPr>
          <w:lang w:val="en-US"/>
        </w:rPr>
      </w:pPr>
      <w:r w:rsidRPr="009B6DB3">
        <w:rPr>
          <w:lang w:val="en-US"/>
        </w:rPr>
        <w:lastRenderedPageBreak/>
        <w:t>UCIs</w:t>
      </w:r>
      <w:r w:rsidR="00460449" w:rsidRPr="009B6DB3">
        <w:rPr>
          <w:lang w:val="en-US"/>
        </w:rPr>
        <w:t xml:space="preserve"> (Situation </w:t>
      </w:r>
      <w:r w:rsidRPr="009B6DB3">
        <w:rPr>
          <w:lang w:val="en-US"/>
        </w:rPr>
        <w:t>as at</w:t>
      </w:r>
      <w:r w:rsidR="008B5F5C" w:rsidRPr="009B6DB3">
        <w:rPr>
          <w:lang w:val="en-US"/>
        </w:rPr>
        <w:t xml:space="preserve"> 31 </w:t>
      </w:r>
      <w:r w:rsidRPr="009B6DB3">
        <w:rPr>
          <w:lang w:val="en-US"/>
        </w:rPr>
        <w:t>August</w:t>
      </w:r>
      <w:r w:rsidR="008B5F5C" w:rsidRPr="009B6DB3">
        <w:rPr>
          <w:lang w:val="en-US"/>
        </w:rPr>
        <w:t xml:space="preserve"> 2017</w:t>
      </w:r>
      <w:r w:rsidR="00460449" w:rsidRPr="009B6DB3">
        <w:rPr>
          <w:lang w:val="en-US"/>
        </w:rPr>
        <w:t>)</w:t>
      </w:r>
    </w:p>
    <w:p w:rsidR="00460449" w:rsidRDefault="00BC1437" w:rsidP="00813A21">
      <w:pPr>
        <w:pStyle w:val="Heading3"/>
      </w:pPr>
      <w:r>
        <w:rPr>
          <w:noProof/>
          <w:lang w:eastAsia="fr-LU"/>
        </w:rPr>
        <w:drawing>
          <wp:anchor distT="0" distB="0" distL="114300" distR="114300" simplePos="0" relativeHeight="251682816" behindDoc="0" locked="0" layoutInCell="1" allowOverlap="1">
            <wp:simplePos x="0" y="0"/>
            <wp:positionH relativeFrom="column">
              <wp:posOffset>2962729</wp:posOffset>
            </wp:positionH>
            <wp:positionV relativeFrom="paragraph">
              <wp:posOffset>310515</wp:posOffset>
            </wp:positionV>
            <wp:extent cx="3438000" cy="2066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14:sizeRelH relativeFrom="margin">
              <wp14:pctWidth>0</wp14:pctWidth>
            </wp14:sizeRelH>
            <wp14:sizeRelV relativeFrom="margin">
              <wp14:pctHeight>0</wp14:pctHeight>
            </wp14:sizeRelV>
          </wp:anchor>
        </w:drawing>
      </w:r>
      <w:r w:rsidR="00460449" w:rsidRPr="006A7147">
        <w:t>N</w:t>
      </w:r>
      <w:r w:rsidR="009B6DB3">
        <w:t>umber of UCIs</w:t>
      </w:r>
    </w:p>
    <w:p w:rsidR="008B5F5C" w:rsidRPr="008C6AE6" w:rsidRDefault="00BC1437" w:rsidP="008B5F5C">
      <w:r>
        <w:rPr>
          <w:noProof/>
          <w:lang w:eastAsia="fr-LU"/>
        </w:rPr>
        <w:drawing>
          <wp:anchor distT="0" distB="0" distL="114300" distR="114300" simplePos="0" relativeHeight="251681792" behindDoc="1" locked="0" layoutInCell="1" allowOverlap="1">
            <wp:simplePos x="0" y="0"/>
            <wp:positionH relativeFrom="column">
              <wp:posOffset>-530352</wp:posOffset>
            </wp:positionH>
            <wp:positionV relativeFrom="paragraph">
              <wp:posOffset>85344</wp:posOffset>
            </wp:positionV>
            <wp:extent cx="3438000" cy="2066400"/>
            <wp:effectExtent l="0" t="0" r="0" b="0"/>
            <wp:wrapTight wrapText="bothSides">
              <wp:wrapPolygon edited="0">
                <wp:start x="0" y="0"/>
                <wp:lineTo x="0" y="21308"/>
                <wp:lineTo x="21424" y="21308"/>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dTable1Light-Accent1"/>
        <w:tblW w:w="9215" w:type="dxa"/>
        <w:tblInd w:w="-284" w:type="dxa"/>
        <w:tblLook w:val="04A0" w:firstRow="1" w:lastRow="0" w:firstColumn="1" w:lastColumn="0" w:noHBand="0" w:noVBand="1"/>
      </w:tblPr>
      <w:tblGrid>
        <w:gridCol w:w="1844"/>
        <w:gridCol w:w="1307"/>
        <w:gridCol w:w="1557"/>
        <w:gridCol w:w="1508"/>
        <w:gridCol w:w="1296"/>
        <w:gridCol w:w="1703"/>
      </w:tblGrid>
      <w:tr w:rsidR="000E4A17" w:rsidRPr="000E3E96" w:rsidTr="000E4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0E4A17" w:rsidRPr="000E3E96" w:rsidRDefault="009B6DB3" w:rsidP="009B6DB3">
            <w:pPr>
              <w:spacing w:before="60" w:after="60"/>
            </w:pPr>
            <w:r>
              <w:t>Law</w:t>
            </w:r>
            <w:r w:rsidR="000E4A17" w:rsidRPr="000E3E96">
              <w:t xml:space="preserve">, </w:t>
            </w:r>
            <w:r>
              <w:t>part</w:t>
            </w:r>
            <w:r w:rsidR="000E4A17" w:rsidRPr="000E3E96">
              <w:t>/</w:t>
            </w:r>
            <w:r>
              <w:t>legal</w:t>
            </w:r>
            <w:r w:rsidR="000E4A17" w:rsidRPr="000E3E96">
              <w:t xml:space="preserve"> form</w:t>
            </w:r>
          </w:p>
        </w:tc>
        <w:tc>
          <w:tcPr>
            <w:tcW w:w="1307" w:type="dxa"/>
            <w:vAlign w:val="center"/>
          </w:tcPr>
          <w:p w:rsidR="000E4A17" w:rsidRPr="000E3E96" w:rsidRDefault="000E4A17" w:rsidP="00AD6D9E">
            <w:pPr>
              <w:spacing w:before="60" w:after="60"/>
              <w:jc w:val="center"/>
              <w:cnfStyle w:val="100000000000" w:firstRow="1" w:lastRow="0" w:firstColumn="0" w:lastColumn="0" w:oddVBand="0" w:evenVBand="0" w:oddHBand="0" w:evenHBand="0" w:firstRowFirstColumn="0" w:firstRowLastColumn="0" w:lastRowFirstColumn="0" w:lastRowLastColumn="0"/>
            </w:pPr>
            <w:r w:rsidRPr="000E3E96">
              <w:t>FCP</w:t>
            </w:r>
          </w:p>
        </w:tc>
        <w:tc>
          <w:tcPr>
            <w:tcW w:w="1557" w:type="dxa"/>
            <w:vAlign w:val="center"/>
          </w:tcPr>
          <w:p w:rsidR="000E4A17" w:rsidRPr="000E3E96" w:rsidRDefault="000E4A17" w:rsidP="00AD6D9E">
            <w:pPr>
              <w:spacing w:before="60" w:after="60"/>
              <w:jc w:val="center"/>
              <w:cnfStyle w:val="100000000000" w:firstRow="1" w:lastRow="0" w:firstColumn="0" w:lastColumn="0" w:oddVBand="0" w:evenVBand="0" w:oddHBand="0" w:evenHBand="0" w:firstRowFirstColumn="0" w:firstRowLastColumn="0" w:lastRowFirstColumn="0" w:lastRowLastColumn="0"/>
            </w:pPr>
            <w:r w:rsidRPr="000E3E96">
              <w:t>SICAV</w:t>
            </w:r>
            <w:r w:rsidR="009B6DB3">
              <w:t>s</w:t>
            </w:r>
          </w:p>
        </w:tc>
        <w:tc>
          <w:tcPr>
            <w:tcW w:w="1508" w:type="dxa"/>
            <w:vAlign w:val="center"/>
          </w:tcPr>
          <w:p w:rsidR="000E4A17" w:rsidRPr="000E3E96" w:rsidRDefault="009B6DB3" w:rsidP="009B6DB3">
            <w:pPr>
              <w:spacing w:before="60" w:after="60"/>
              <w:jc w:val="center"/>
              <w:cnfStyle w:val="100000000000" w:firstRow="1" w:lastRow="0" w:firstColumn="0" w:lastColumn="0" w:oddVBand="0" w:evenVBand="0" w:oddHBand="0" w:evenHBand="0" w:firstRowFirstColumn="0" w:firstRowLastColumn="0" w:lastRowFirstColumn="0" w:lastRowLastColumn="0"/>
            </w:pPr>
            <w:r>
              <w:t>Other</w:t>
            </w:r>
            <w:r w:rsidR="008C6AE6">
              <w:t xml:space="preserve"> </w:t>
            </w:r>
            <w:r>
              <w:t>UCIs</w:t>
            </w:r>
            <w:r w:rsidR="008C6AE6">
              <w:t>/</w:t>
            </w:r>
            <w:r>
              <w:t>SIFs</w:t>
            </w:r>
          </w:p>
        </w:tc>
        <w:tc>
          <w:tcPr>
            <w:tcW w:w="1296" w:type="dxa"/>
            <w:vAlign w:val="center"/>
          </w:tcPr>
          <w:p w:rsidR="000E4A17" w:rsidRPr="000E3E96" w:rsidRDefault="000E4A17" w:rsidP="000E4A17">
            <w:pPr>
              <w:spacing w:before="60" w:after="60"/>
              <w:jc w:val="center"/>
              <w:cnfStyle w:val="100000000000" w:firstRow="1" w:lastRow="0" w:firstColumn="0" w:lastColumn="0" w:oddVBand="0" w:evenVBand="0" w:oddHBand="0" w:evenHBand="0" w:firstRowFirstColumn="0" w:firstRowLastColumn="0" w:lastRowFirstColumn="0" w:lastRowLastColumn="0"/>
            </w:pPr>
            <w:r>
              <w:t>SICAR</w:t>
            </w:r>
            <w:r w:rsidR="009B6DB3">
              <w:t>s</w:t>
            </w:r>
          </w:p>
        </w:tc>
        <w:tc>
          <w:tcPr>
            <w:tcW w:w="1703" w:type="dxa"/>
            <w:tcBorders>
              <w:right w:val="nil"/>
            </w:tcBorders>
            <w:vAlign w:val="center"/>
          </w:tcPr>
          <w:p w:rsidR="000E4A17" w:rsidRPr="000E3E96" w:rsidRDefault="000E4A17" w:rsidP="009B6DB3">
            <w:pPr>
              <w:spacing w:before="60" w:after="60"/>
              <w:jc w:val="center"/>
              <w:cnfStyle w:val="100000000000" w:firstRow="1" w:lastRow="0" w:firstColumn="0" w:lastColumn="0" w:oddVBand="0" w:evenVBand="0" w:oddHBand="0" w:evenHBand="0" w:firstRowFirstColumn="0" w:firstRowLastColumn="0" w:lastRowFirstColumn="0" w:lastRowLastColumn="0"/>
            </w:pPr>
            <w:r w:rsidRPr="000E3E96">
              <w:t>T</w:t>
            </w:r>
            <w:r w:rsidR="009B6DB3">
              <w:t>OTAL</w:t>
            </w:r>
          </w:p>
        </w:tc>
      </w:tr>
      <w:tr w:rsidR="000E4A17" w:rsidRPr="000E3E96" w:rsidTr="000E4A17">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0E4A17" w:rsidRPr="000E3E96" w:rsidRDefault="000E4A17" w:rsidP="009B6DB3">
            <w:pPr>
              <w:spacing w:before="60" w:after="60"/>
            </w:pPr>
            <w:r w:rsidRPr="000E3E96">
              <w:t>Part I (</w:t>
            </w:r>
            <w:r w:rsidR="009B6DB3">
              <w:t>2010 Law</w:t>
            </w:r>
            <w:r w:rsidRPr="000E3E96">
              <w:t>)</w:t>
            </w:r>
          </w:p>
        </w:tc>
        <w:tc>
          <w:tcPr>
            <w:tcW w:w="1307" w:type="dxa"/>
            <w:vAlign w:val="center"/>
          </w:tcPr>
          <w:p w:rsidR="000E4A17" w:rsidRPr="000E3E96" w:rsidRDefault="007A2EE8" w:rsidP="000E4A17">
            <w:pPr>
              <w:spacing w:before="60" w:after="60"/>
              <w:ind w:right="384"/>
              <w:jc w:val="right"/>
              <w:cnfStyle w:val="000000000000" w:firstRow="0" w:lastRow="0" w:firstColumn="0" w:lastColumn="0" w:oddVBand="0" w:evenVBand="0" w:oddHBand="0" w:evenHBand="0" w:firstRowFirstColumn="0" w:firstRowLastColumn="0" w:lastRowFirstColumn="0" w:lastRowLastColumn="0"/>
            </w:pPr>
            <w:r>
              <w:t>1</w:t>
            </w:r>
            <w:r w:rsidR="009B6DB3">
              <w:t>,</w:t>
            </w:r>
            <w:r>
              <w:t>004</w:t>
            </w:r>
          </w:p>
        </w:tc>
        <w:tc>
          <w:tcPr>
            <w:tcW w:w="1557" w:type="dxa"/>
            <w:vAlign w:val="center"/>
          </w:tcPr>
          <w:p w:rsidR="000E4A17" w:rsidRPr="000E3E96" w:rsidRDefault="007A2EE8" w:rsidP="000E4A17">
            <w:pPr>
              <w:spacing w:before="60" w:after="60"/>
              <w:ind w:right="486"/>
              <w:jc w:val="right"/>
              <w:cnfStyle w:val="000000000000" w:firstRow="0" w:lastRow="0" w:firstColumn="0" w:lastColumn="0" w:oddVBand="0" w:evenVBand="0" w:oddHBand="0" w:evenHBand="0" w:firstRowFirstColumn="0" w:firstRowLastColumn="0" w:lastRowFirstColumn="0" w:lastRowLastColumn="0"/>
            </w:pPr>
            <w:r>
              <w:t>872</w:t>
            </w:r>
          </w:p>
        </w:tc>
        <w:tc>
          <w:tcPr>
            <w:tcW w:w="1508" w:type="dxa"/>
            <w:vAlign w:val="center"/>
          </w:tcPr>
          <w:p w:rsidR="000E4A17" w:rsidRPr="000E3E96" w:rsidRDefault="007A2EE8" w:rsidP="000E4A17">
            <w:pPr>
              <w:spacing w:before="60" w:after="60"/>
              <w:ind w:right="446"/>
              <w:jc w:val="right"/>
              <w:cnfStyle w:val="000000000000" w:firstRow="0" w:lastRow="0" w:firstColumn="0" w:lastColumn="0" w:oddVBand="0" w:evenVBand="0" w:oddHBand="0" w:evenHBand="0" w:firstRowFirstColumn="0" w:firstRowLastColumn="0" w:lastRowFirstColumn="0" w:lastRowLastColumn="0"/>
            </w:pPr>
            <w:r>
              <w:t>0</w:t>
            </w:r>
          </w:p>
        </w:tc>
        <w:tc>
          <w:tcPr>
            <w:tcW w:w="1296" w:type="dxa"/>
            <w:vAlign w:val="center"/>
          </w:tcPr>
          <w:p w:rsidR="000E4A17" w:rsidRPr="000E4A17" w:rsidRDefault="007A2EE8" w:rsidP="000E4A17">
            <w:pPr>
              <w:spacing w:before="60" w:after="60"/>
              <w:ind w:right="549"/>
              <w:jc w:val="right"/>
              <w:cnfStyle w:val="000000000000" w:firstRow="0" w:lastRow="0" w:firstColumn="0" w:lastColumn="0" w:oddVBand="0" w:evenVBand="0" w:oddHBand="0" w:evenHBand="0" w:firstRowFirstColumn="0" w:firstRowLastColumn="0" w:lastRowFirstColumn="0" w:lastRowLastColumn="0"/>
            </w:pPr>
            <w:r>
              <w:t>0</w:t>
            </w:r>
          </w:p>
        </w:tc>
        <w:tc>
          <w:tcPr>
            <w:tcW w:w="1703" w:type="dxa"/>
            <w:tcBorders>
              <w:right w:val="nil"/>
            </w:tcBorders>
            <w:vAlign w:val="center"/>
          </w:tcPr>
          <w:p w:rsidR="000E4A17" w:rsidRPr="00084F84" w:rsidRDefault="009B6DB3" w:rsidP="000E4A17">
            <w:pPr>
              <w:spacing w:before="60" w:after="60"/>
              <w:ind w:right="549"/>
              <w:jc w:val="right"/>
              <w:cnfStyle w:val="000000000000" w:firstRow="0" w:lastRow="0" w:firstColumn="0" w:lastColumn="0" w:oddVBand="0" w:evenVBand="0" w:oddHBand="0" w:evenHBand="0" w:firstRowFirstColumn="0" w:firstRowLastColumn="0" w:lastRowFirstColumn="0" w:lastRowLastColumn="0"/>
              <w:rPr>
                <w:b/>
              </w:rPr>
            </w:pPr>
            <w:r>
              <w:rPr>
                <w:b/>
              </w:rPr>
              <w:t>1,</w:t>
            </w:r>
            <w:r w:rsidR="007A2EE8">
              <w:rPr>
                <w:b/>
              </w:rPr>
              <w:t>876</w:t>
            </w:r>
          </w:p>
        </w:tc>
      </w:tr>
      <w:tr w:rsidR="000E4A17" w:rsidRPr="000E3E96" w:rsidTr="000E4A17">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0E4A17" w:rsidRPr="000E3E96" w:rsidRDefault="000E4A17" w:rsidP="009B6DB3">
            <w:pPr>
              <w:spacing w:before="60" w:after="60"/>
            </w:pPr>
            <w:r w:rsidRPr="000E3E96">
              <w:t>Part II (</w:t>
            </w:r>
            <w:r w:rsidR="009B6DB3">
              <w:t>2010 Law</w:t>
            </w:r>
            <w:r w:rsidRPr="000E3E96">
              <w:t>)</w:t>
            </w:r>
          </w:p>
        </w:tc>
        <w:tc>
          <w:tcPr>
            <w:tcW w:w="1307" w:type="dxa"/>
            <w:vAlign w:val="center"/>
          </w:tcPr>
          <w:p w:rsidR="000E4A17" w:rsidRPr="000E3E96" w:rsidRDefault="007A2EE8" w:rsidP="000E4A17">
            <w:pPr>
              <w:spacing w:before="60" w:after="60"/>
              <w:ind w:right="384"/>
              <w:jc w:val="right"/>
              <w:cnfStyle w:val="000000000000" w:firstRow="0" w:lastRow="0" w:firstColumn="0" w:lastColumn="0" w:oddVBand="0" w:evenVBand="0" w:oddHBand="0" w:evenHBand="0" w:firstRowFirstColumn="0" w:firstRowLastColumn="0" w:lastRowFirstColumn="0" w:lastRowLastColumn="0"/>
            </w:pPr>
            <w:r>
              <w:t>169</w:t>
            </w:r>
          </w:p>
        </w:tc>
        <w:tc>
          <w:tcPr>
            <w:tcW w:w="1557" w:type="dxa"/>
            <w:vAlign w:val="center"/>
          </w:tcPr>
          <w:p w:rsidR="000E4A17" w:rsidRPr="000E3E96" w:rsidRDefault="007A2EE8" w:rsidP="000E4A17">
            <w:pPr>
              <w:spacing w:before="60" w:after="60"/>
              <w:ind w:right="486"/>
              <w:jc w:val="right"/>
              <w:cnfStyle w:val="000000000000" w:firstRow="0" w:lastRow="0" w:firstColumn="0" w:lastColumn="0" w:oddVBand="0" w:evenVBand="0" w:oddHBand="0" w:evenHBand="0" w:firstRowFirstColumn="0" w:firstRowLastColumn="0" w:lastRowFirstColumn="0" w:lastRowLastColumn="0"/>
            </w:pPr>
            <w:r>
              <w:t>165</w:t>
            </w:r>
          </w:p>
        </w:tc>
        <w:tc>
          <w:tcPr>
            <w:tcW w:w="1508" w:type="dxa"/>
            <w:vAlign w:val="center"/>
          </w:tcPr>
          <w:p w:rsidR="000E4A17" w:rsidRPr="000E3E96" w:rsidRDefault="007A2EE8" w:rsidP="000E4A17">
            <w:pPr>
              <w:spacing w:before="60" w:after="60"/>
              <w:ind w:right="446"/>
              <w:jc w:val="right"/>
              <w:cnfStyle w:val="000000000000" w:firstRow="0" w:lastRow="0" w:firstColumn="0" w:lastColumn="0" w:oddVBand="0" w:evenVBand="0" w:oddHBand="0" w:evenHBand="0" w:firstRowFirstColumn="0" w:firstRowLastColumn="0" w:lastRowFirstColumn="0" w:lastRowLastColumn="0"/>
            </w:pPr>
            <w:r>
              <w:t>3</w:t>
            </w:r>
          </w:p>
        </w:tc>
        <w:tc>
          <w:tcPr>
            <w:tcW w:w="1296" w:type="dxa"/>
            <w:vAlign w:val="center"/>
          </w:tcPr>
          <w:p w:rsidR="000E4A17" w:rsidRPr="000E4A17" w:rsidRDefault="007A2EE8" w:rsidP="000E4A17">
            <w:pPr>
              <w:spacing w:before="60" w:after="60"/>
              <w:ind w:right="549"/>
              <w:jc w:val="right"/>
              <w:cnfStyle w:val="000000000000" w:firstRow="0" w:lastRow="0" w:firstColumn="0" w:lastColumn="0" w:oddVBand="0" w:evenVBand="0" w:oddHBand="0" w:evenHBand="0" w:firstRowFirstColumn="0" w:firstRowLastColumn="0" w:lastRowFirstColumn="0" w:lastRowLastColumn="0"/>
            </w:pPr>
            <w:r>
              <w:t>0</w:t>
            </w:r>
          </w:p>
        </w:tc>
        <w:tc>
          <w:tcPr>
            <w:tcW w:w="1703" w:type="dxa"/>
            <w:tcBorders>
              <w:right w:val="nil"/>
            </w:tcBorders>
            <w:vAlign w:val="center"/>
          </w:tcPr>
          <w:p w:rsidR="000E4A17" w:rsidRPr="00084F84" w:rsidRDefault="007A2EE8" w:rsidP="000E4A17">
            <w:pPr>
              <w:spacing w:before="60" w:after="60"/>
              <w:ind w:right="549"/>
              <w:jc w:val="right"/>
              <w:cnfStyle w:val="000000000000" w:firstRow="0" w:lastRow="0" w:firstColumn="0" w:lastColumn="0" w:oddVBand="0" w:evenVBand="0" w:oddHBand="0" w:evenHBand="0" w:firstRowFirstColumn="0" w:firstRowLastColumn="0" w:lastRowFirstColumn="0" w:lastRowLastColumn="0"/>
              <w:rPr>
                <w:b/>
              </w:rPr>
            </w:pPr>
            <w:r>
              <w:rPr>
                <w:b/>
              </w:rPr>
              <w:t>337</w:t>
            </w:r>
          </w:p>
        </w:tc>
      </w:tr>
      <w:tr w:rsidR="000E4A17" w:rsidRPr="000E3E96" w:rsidTr="000E4A17">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0E4A17" w:rsidRPr="000E3E96" w:rsidRDefault="009B6DB3" w:rsidP="00AD6D9E">
            <w:pPr>
              <w:spacing w:before="60" w:after="60"/>
            </w:pPr>
            <w:r>
              <w:t>SIFs</w:t>
            </w:r>
          </w:p>
        </w:tc>
        <w:tc>
          <w:tcPr>
            <w:tcW w:w="1307" w:type="dxa"/>
            <w:vAlign w:val="center"/>
          </w:tcPr>
          <w:p w:rsidR="000E4A17" w:rsidRPr="000E3E96" w:rsidRDefault="007A2EE8" w:rsidP="000E4A17">
            <w:pPr>
              <w:spacing w:before="60" w:after="60"/>
              <w:ind w:right="384"/>
              <w:jc w:val="right"/>
              <w:cnfStyle w:val="000000000000" w:firstRow="0" w:lastRow="0" w:firstColumn="0" w:lastColumn="0" w:oddVBand="0" w:evenVBand="0" w:oddHBand="0" w:evenHBand="0" w:firstRowFirstColumn="0" w:firstRowLastColumn="0" w:lastRowFirstColumn="0" w:lastRowLastColumn="0"/>
            </w:pPr>
            <w:r>
              <w:t>386</w:t>
            </w:r>
          </w:p>
        </w:tc>
        <w:tc>
          <w:tcPr>
            <w:tcW w:w="1557" w:type="dxa"/>
            <w:vAlign w:val="center"/>
          </w:tcPr>
          <w:p w:rsidR="000E4A17" w:rsidRPr="000E3E96" w:rsidRDefault="009B6DB3" w:rsidP="000E4A17">
            <w:pPr>
              <w:spacing w:before="60" w:after="60"/>
              <w:ind w:right="486"/>
              <w:jc w:val="right"/>
              <w:cnfStyle w:val="000000000000" w:firstRow="0" w:lastRow="0" w:firstColumn="0" w:lastColumn="0" w:oddVBand="0" w:evenVBand="0" w:oddHBand="0" w:evenHBand="0" w:firstRowFirstColumn="0" w:firstRowLastColumn="0" w:lastRowFirstColumn="0" w:lastRowLastColumn="0"/>
            </w:pPr>
            <w:r>
              <w:t>1,</w:t>
            </w:r>
            <w:r w:rsidR="007A2EE8">
              <w:t>187</w:t>
            </w:r>
          </w:p>
        </w:tc>
        <w:tc>
          <w:tcPr>
            <w:tcW w:w="1508" w:type="dxa"/>
            <w:vAlign w:val="center"/>
          </w:tcPr>
          <w:p w:rsidR="000E4A17" w:rsidRPr="000E3E96" w:rsidRDefault="007A2EE8" w:rsidP="000E4A17">
            <w:pPr>
              <w:spacing w:before="60" w:after="60"/>
              <w:ind w:right="446"/>
              <w:jc w:val="right"/>
              <w:cnfStyle w:val="000000000000" w:firstRow="0" w:lastRow="0" w:firstColumn="0" w:lastColumn="0" w:oddVBand="0" w:evenVBand="0" w:oddHBand="0" w:evenHBand="0" w:firstRowFirstColumn="0" w:firstRowLastColumn="0" w:lastRowFirstColumn="0" w:lastRowLastColumn="0"/>
            </w:pPr>
            <w:r>
              <w:t>42</w:t>
            </w:r>
          </w:p>
        </w:tc>
        <w:tc>
          <w:tcPr>
            <w:tcW w:w="1296" w:type="dxa"/>
            <w:vAlign w:val="center"/>
          </w:tcPr>
          <w:p w:rsidR="000E4A17" w:rsidRPr="000E4A17" w:rsidRDefault="007A2EE8" w:rsidP="000E4A17">
            <w:pPr>
              <w:spacing w:before="60" w:after="60"/>
              <w:ind w:right="549"/>
              <w:jc w:val="right"/>
              <w:cnfStyle w:val="000000000000" w:firstRow="0" w:lastRow="0" w:firstColumn="0" w:lastColumn="0" w:oddVBand="0" w:evenVBand="0" w:oddHBand="0" w:evenHBand="0" w:firstRowFirstColumn="0" w:firstRowLastColumn="0" w:lastRowFirstColumn="0" w:lastRowLastColumn="0"/>
            </w:pPr>
            <w:r>
              <w:t>0</w:t>
            </w:r>
          </w:p>
        </w:tc>
        <w:tc>
          <w:tcPr>
            <w:tcW w:w="1703" w:type="dxa"/>
            <w:tcBorders>
              <w:right w:val="nil"/>
            </w:tcBorders>
            <w:vAlign w:val="center"/>
          </w:tcPr>
          <w:p w:rsidR="000E4A17" w:rsidRPr="00084F84" w:rsidRDefault="009B6DB3" w:rsidP="000E4A17">
            <w:pPr>
              <w:spacing w:before="60" w:after="60"/>
              <w:ind w:right="549"/>
              <w:jc w:val="right"/>
              <w:cnfStyle w:val="000000000000" w:firstRow="0" w:lastRow="0" w:firstColumn="0" w:lastColumn="0" w:oddVBand="0" w:evenVBand="0" w:oddHBand="0" w:evenHBand="0" w:firstRowFirstColumn="0" w:firstRowLastColumn="0" w:lastRowFirstColumn="0" w:lastRowLastColumn="0"/>
              <w:rPr>
                <w:b/>
              </w:rPr>
            </w:pPr>
            <w:r>
              <w:rPr>
                <w:b/>
              </w:rPr>
              <w:t>1,</w:t>
            </w:r>
            <w:r w:rsidR="007A2EE8">
              <w:rPr>
                <w:b/>
              </w:rPr>
              <w:t>615</w:t>
            </w:r>
          </w:p>
        </w:tc>
      </w:tr>
      <w:tr w:rsidR="000E4A17" w:rsidRPr="000E3E96" w:rsidTr="000E4A17">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0E4A17" w:rsidRPr="000E3E96" w:rsidRDefault="000E4A17" w:rsidP="00AD6D9E">
            <w:pPr>
              <w:spacing w:before="60" w:after="60"/>
            </w:pPr>
            <w:r>
              <w:t>SICAR</w:t>
            </w:r>
            <w:r w:rsidR="009B6DB3">
              <w:t>s</w:t>
            </w:r>
          </w:p>
        </w:tc>
        <w:tc>
          <w:tcPr>
            <w:tcW w:w="1307" w:type="dxa"/>
            <w:vAlign w:val="center"/>
          </w:tcPr>
          <w:p w:rsidR="000E4A17" w:rsidRDefault="007A2EE8" w:rsidP="000E4A17">
            <w:pPr>
              <w:spacing w:before="60" w:after="60"/>
              <w:ind w:right="384"/>
              <w:jc w:val="right"/>
              <w:cnfStyle w:val="000000000000" w:firstRow="0" w:lastRow="0" w:firstColumn="0" w:lastColumn="0" w:oddVBand="0" w:evenVBand="0" w:oddHBand="0" w:evenHBand="0" w:firstRowFirstColumn="0" w:firstRowLastColumn="0" w:lastRowFirstColumn="0" w:lastRowLastColumn="0"/>
            </w:pPr>
            <w:r>
              <w:t>0</w:t>
            </w:r>
          </w:p>
        </w:tc>
        <w:tc>
          <w:tcPr>
            <w:tcW w:w="1557" w:type="dxa"/>
            <w:vAlign w:val="center"/>
          </w:tcPr>
          <w:p w:rsidR="000E4A17" w:rsidRPr="000E3E96" w:rsidRDefault="007A2EE8" w:rsidP="000E4A17">
            <w:pPr>
              <w:spacing w:before="60" w:after="60"/>
              <w:ind w:right="486"/>
              <w:jc w:val="right"/>
              <w:cnfStyle w:val="000000000000" w:firstRow="0" w:lastRow="0" w:firstColumn="0" w:lastColumn="0" w:oddVBand="0" w:evenVBand="0" w:oddHBand="0" w:evenHBand="0" w:firstRowFirstColumn="0" w:firstRowLastColumn="0" w:lastRowFirstColumn="0" w:lastRowLastColumn="0"/>
            </w:pPr>
            <w:r>
              <w:t>0</w:t>
            </w:r>
          </w:p>
        </w:tc>
        <w:tc>
          <w:tcPr>
            <w:tcW w:w="1508" w:type="dxa"/>
            <w:vAlign w:val="center"/>
          </w:tcPr>
          <w:p w:rsidR="000E4A17" w:rsidRPr="000E3E96" w:rsidRDefault="007A2EE8" w:rsidP="000E4A17">
            <w:pPr>
              <w:spacing w:before="60" w:after="60"/>
              <w:ind w:right="446"/>
              <w:jc w:val="right"/>
              <w:cnfStyle w:val="000000000000" w:firstRow="0" w:lastRow="0" w:firstColumn="0" w:lastColumn="0" w:oddVBand="0" w:evenVBand="0" w:oddHBand="0" w:evenHBand="0" w:firstRowFirstColumn="0" w:firstRowLastColumn="0" w:lastRowFirstColumn="0" w:lastRowLastColumn="0"/>
            </w:pPr>
            <w:r>
              <w:t>0</w:t>
            </w:r>
          </w:p>
        </w:tc>
        <w:tc>
          <w:tcPr>
            <w:tcW w:w="1296" w:type="dxa"/>
            <w:vAlign w:val="center"/>
          </w:tcPr>
          <w:p w:rsidR="000E4A17" w:rsidRPr="000E4A17" w:rsidRDefault="007A2EE8" w:rsidP="000E4A17">
            <w:pPr>
              <w:spacing w:before="60" w:after="60"/>
              <w:ind w:right="549"/>
              <w:jc w:val="right"/>
              <w:cnfStyle w:val="000000000000" w:firstRow="0" w:lastRow="0" w:firstColumn="0" w:lastColumn="0" w:oddVBand="0" w:evenVBand="0" w:oddHBand="0" w:evenHBand="0" w:firstRowFirstColumn="0" w:firstRowLastColumn="0" w:lastRowFirstColumn="0" w:lastRowLastColumn="0"/>
            </w:pPr>
            <w:r>
              <w:t>290</w:t>
            </w:r>
          </w:p>
        </w:tc>
        <w:tc>
          <w:tcPr>
            <w:tcW w:w="1703" w:type="dxa"/>
            <w:tcBorders>
              <w:right w:val="nil"/>
            </w:tcBorders>
            <w:vAlign w:val="center"/>
          </w:tcPr>
          <w:p w:rsidR="000E4A17" w:rsidRPr="00084F84" w:rsidRDefault="007A2EE8" w:rsidP="000E4A17">
            <w:pPr>
              <w:spacing w:before="60" w:after="60"/>
              <w:ind w:right="549"/>
              <w:jc w:val="right"/>
              <w:cnfStyle w:val="000000000000" w:firstRow="0" w:lastRow="0" w:firstColumn="0" w:lastColumn="0" w:oddVBand="0" w:evenVBand="0" w:oddHBand="0" w:evenHBand="0" w:firstRowFirstColumn="0" w:firstRowLastColumn="0" w:lastRowFirstColumn="0" w:lastRowLastColumn="0"/>
              <w:rPr>
                <w:b/>
              </w:rPr>
            </w:pPr>
            <w:r>
              <w:rPr>
                <w:b/>
              </w:rPr>
              <w:t>290</w:t>
            </w:r>
          </w:p>
        </w:tc>
      </w:tr>
      <w:tr w:rsidR="000E4A17" w:rsidRPr="000E3E96" w:rsidTr="000E4A17">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0E4A17" w:rsidRPr="000E3E96" w:rsidRDefault="000E4A17" w:rsidP="00AD6D9E">
            <w:pPr>
              <w:spacing w:before="60" w:after="60"/>
            </w:pPr>
            <w:r w:rsidRPr="000E3E96">
              <w:t>TOTAL</w:t>
            </w:r>
          </w:p>
        </w:tc>
        <w:tc>
          <w:tcPr>
            <w:tcW w:w="1307" w:type="dxa"/>
          </w:tcPr>
          <w:p w:rsidR="000E4A17" w:rsidRPr="00084F84" w:rsidRDefault="009B6DB3" w:rsidP="00755E0E">
            <w:pPr>
              <w:spacing w:before="60" w:after="60"/>
              <w:ind w:right="384"/>
              <w:jc w:val="right"/>
              <w:cnfStyle w:val="000000000000" w:firstRow="0" w:lastRow="0" w:firstColumn="0" w:lastColumn="0" w:oddVBand="0" w:evenVBand="0" w:oddHBand="0" w:evenHBand="0" w:firstRowFirstColumn="0" w:firstRowLastColumn="0" w:lastRowFirstColumn="0" w:lastRowLastColumn="0"/>
              <w:rPr>
                <w:b/>
              </w:rPr>
            </w:pPr>
            <w:r>
              <w:rPr>
                <w:b/>
              </w:rPr>
              <w:t>1,</w:t>
            </w:r>
            <w:r w:rsidR="007A2EE8">
              <w:rPr>
                <w:b/>
              </w:rPr>
              <w:t>559</w:t>
            </w:r>
          </w:p>
        </w:tc>
        <w:tc>
          <w:tcPr>
            <w:tcW w:w="1557" w:type="dxa"/>
          </w:tcPr>
          <w:p w:rsidR="000E4A17" w:rsidRPr="00084F84" w:rsidRDefault="009B6DB3" w:rsidP="00755E0E">
            <w:pPr>
              <w:spacing w:before="60" w:after="60"/>
              <w:ind w:right="486"/>
              <w:jc w:val="right"/>
              <w:cnfStyle w:val="000000000000" w:firstRow="0" w:lastRow="0" w:firstColumn="0" w:lastColumn="0" w:oddVBand="0" w:evenVBand="0" w:oddHBand="0" w:evenHBand="0" w:firstRowFirstColumn="0" w:firstRowLastColumn="0" w:lastRowFirstColumn="0" w:lastRowLastColumn="0"/>
              <w:rPr>
                <w:b/>
              </w:rPr>
            </w:pPr>
            <w:r>
              <w:rPr>
                <w:b/>
              </w:rPr>
              <w:t>2,</w:t>
            </w:r>
            <w:r w:rsidR="007A2EE8">
              <w:rPr>
                <w:b/>
              </w:rPr>
              <w:t>224</w:t>
            </w:r>
          </w:p>
        </w:tc>
        <w:tc>
          <w:tcPr>
            <w:tcW w:w="1508" w:type="dxa"/>
          </w:tcPr>
          <w:p w:rsidR="000E4A17" w:rsidRPr="00084F84" w:rsidRDefault="007A2EE8" w:rsidP="00755E0E">
            <w:pPr>
              <w:spacing w:before="60" w:after="60"/>
              <w:ind w:right="446"/>
              <w:jc w:val="right"/>
              <w:cnfStyle w:val="000000000000" w:firstRow="0" w:lastRow="0" w:firstColumn="0" w:lastColumn="0" w:oddVBand="0" w:evenVBand="0" w:oddHBand="0" w:evenHBand="0" w:firstRowFirstColumn="0" w:firstRowLastColumn="0" w:lastRowFirstColumn="0" w:lastRowLastColumn="0"/>
              <w:rPr>
                <w:b/>
              </w:rPr>
            </w:pPr>
            <w:r>
              <w:rPr>
                <w:b/>
              </w:rPr>
              <w:t>45</w:t>
            </w:r>
          </w:p>
        </w:tc>
        <w:tc>
          <w:tcPr>
            <w:tcW w:w="1296" w:type="dxa"/>
          </w:tcPr>
          <w:p w:rsidR="000E4A17" w:rsidRPr="000E4A17" w:rsidRDefault="007A2EE8" w:rsidP="00755E0E">
            <w:pPr>
              <w:spacing w:before="60" w:after="60"/>
              <w:ind w:right="549"/>
              <w:jc w:val="right"/>
              <w:cnfStyle w:val="000000000000" w:firstRow="0" w:lastRow="0" w:firstColumn="0" w:lastColumn="0" w:oddVBand="0" w:evenVBand="0" w:oddHBand="0" w:evenHBand="0" w:firstRowFirstColumn="0" w:firstRowLastColumn="0" w:lastRowFirstColumn="0" w:lastRowLastColumn="0"/>
              <w:rPr>
                <w:b/>
              </w:rPr>
            </w:pPr>
            <w:r>
              <w:rPr>
                <w:b/>
              </w:rPr>
              <w:t>290</w:t>
            </w:r>
          </w:p>
        </w:tc>
        <w:tc>
          <w:tcPr>
            <w:tcW w:w="1703" w:type="dxa"/>
            <w:tcBorders>
              <w:right w:val="nil"/>
            </w:tcBorders>
          </w:tcPr>
          <w:p w:rsidR="000E4A17" w:rsidRPr="00084F84" w:rsidRDefault="009B6DB3" w:rsidP="00755E0E">
            <w:pPr>
              <w:spacing w:before="60" w:after="60"/>
              <w:ind w:right="549"/>
              <w:jc w:val="right"/>
              <w:cnfStyle w:val="000000000000" w:firstRow="0" w:lastRow="0" w:firstColumn="0" w:lastColumn="0" w:oddVBand="0" w:evenVBand="0" w:oddHBand="0" w:evenHBand="0" w:firstRowFirstColumn="0" w:firstRowLastColumn="0" w:lastRowFirstColumn="0" w:lastRowLastColumn="0"/>
              <w:rPr>
                <w:b/>
              </w:rPr>
            </w:pPr>
            <w:r>
              <w:rPr>
                <w:b/>
              </w:rPr>
              <w:t>4,</w:t>
            </w:r>
            <w:r w:rsidR="007A2EE8">
              <w:rPr>
                <w:b/>
              </w:rPr>
              <w:t>118</w:t>
            </w:r>
          </w:p>
        </w:tc>
      </w:tr>
    </w:tbl>
    <w:p w:rsidR="00460449" w:rsidRPr="006A7147" w:rsidRDefault="00AB1F1E" w:rsidP="00BE1B35">
      <w:pPr>
        <w:pStyle w:val="Heading3"/>
        <w:spacing w:before="240"/>
      </w:pPr>
      <w:r>
        <w:rPr>
          <w:noProof/>
          <w:lang w:eastAsia="fr-LU"/>
        </w:rPr>
        <w:drawing>
          <wp:anchor distT="0" distB="0" distL="114300" distR="114300" simplePos="0" relativeHeight="251684864" behindDoc="0" locked="0" layoutInCell="1" allowOverlap="1">
            <wp:simplePos x="0" y="0"/>
            <wp:positionH relativeFrom="column">
              <wp:posOffset>2962729</wp:posOffset>
            </wp:positionH>
            <wp:positionV relativeFrom="paragraph">
              <wp:posOffset>432054</wp:posOffset>
            </wp:positionV>
            <wp:extent cx="3438000" cy="2066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14:sizeRelH relativeFrom="margin">
              <wp14:pctWidth>0</wp14:pctWidth>
            </wp14:sizeRelH>
            <wp14:sizeRelV relativeFrom="margin">
              <wp14:pctHeight>0</wp14:pctHeight>
            </wp14:sizeRelV>
          </wp:anchor>
        </w:drawing>
      </w:r>
      <w:r w:rsidR="00BC1437">
        <w:rPr>
          <w:noProof/>
          <w:lang w:eastAsia="fr-LU"/>
        </w:rPr>
        <w:drawing>
          <wp:anchor distT="0" distB="0" distL="114300" distR="114300" simplePos="0" relativeHeight="251683840" behindDoc="1" locked="0" layoutInCell="1" allowOverlap="1">
            <wp:simplePos x="0" y="0"/>
            <wp:positionH relativeFrom="column">
              <wp:posOffset>-530352</wp:posOffset>
            </wp:positionH>
            <wp:positionV relativeFrom="paragraph">
              <wp:posOffset>434975</wp:posOffset>
            </wp:positionV>
            <wp:extent cx="3438000" cy="2066400"/>
            <wp:effectExtent l="0" t="0" r="0" b="0"/>
            <wp:wrapTight wrapText="bothSides">
              <wp:wrapPolygon edited="0">
                <wp:start x="0" y="0"/>
                <wp:lineTo x="0" y="21308"/>
                <wp:lineTo x="21424" y="21308"/>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14:sizeRelH relativeFrom="margin">
              <wp14:pctWidth>0</wp14:pctWidth>
            </wp14:sizeRelH>
            <wp14:sizeRelV relativeFrom="margin">
              <wp14:pctHeight>0</wp14:pctHeight>
            </wp14:sizeRelV>
          </wp:anchor>
        </w:drawing>
      </w:r>
      <w:r w:rsidR="009B6DB3">
        <w:t>Net assets of UCIs</w:t>
      </w:r>
    </w:p>
    <w:p w:rsidR="008B5F5C" w:rsidRPr="006A7147" w:rsidRDefault="008B5F5C" w:rsidP="008B5F5C"/>
    <w:tbl>
      <w:tblPr>
        <w:tblStyle w:val="GridTable1Light-Accent1"/>
        <w:tblW w:w="9357" w:type="dxa"/>
        <w:tblInd w:w="-284" w:type="dxa"/>
        <w:tblLook w:val="04A0" w:firstRow="1" w:lastRow="0" w:firstColumn="1" w:lastColumn="0" w:noHBand="0" w:noVBand="1"/>
      </w:tblPr>
      <w:tblGrid>
        <w:gridCol w:w="1844"/>
        <w:gridCol w:w="1362"/>
        <w:gridCol w:w="1593"/>
        <w:gridCol w:w="1590"/>
        <w:gridCol w:w="1417"/>
        <w:gridCol w:w="1551"/>
      </w:tblGrid>
      <w:tr w:rsidR="005E5768" w:rsidRPr="00F9770C" w:rsidTr="005E5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5E5768" w:rsidRPr="009B6DB3" w:rsidRDefault="009B6DB3" w:rsidP="006D2554">
            <w:pPr>
              <w:spacing w:before="60" w:after="60"/>
              <w:rPr>
                <w:lang w:val="en-US"/>
              </w:rPr>
            </w:pPr>
            <w:r w:rsidRPr="009B6DB3">
              <w:rPr>
                <w:lang w:val="en-US"/>
              </w:rPr>
              <w:t>Law</w:t>
            </w:r>
            <w:r w:rsidR="005E5768" w:rsidRPr="009B6DB3">
              <w:rPr>
                <w:lang w:val="en-US"/>
              </w:rPr>
              <w:t xml:space="preserve">, </w:t>
            </w:r>
            <w:r w:rsidRPr="009B6DB3">
              <w:rPr>
                <w:lang w:val="en-US"/>
              </w:rPr>
              <w:t>part</w:t>
            </w:r>
            <w:r w:rsidR="005E5768" w:rsidRPr="009B6DB3">
              <w:rPr>
                <w:lang w:val="en-US"/>
              </w:rPr>
              <w:t>/</w:t>
            </w:r>
            <w:r w:rsidRPr="009B6DB3">
              <w:rPr>
                <w:lang w:val="en-US"/>
              </w:rPr>
              <w:t>legal</w:t>
            </w:r>
            <w:r w:rsidR="005E5768" w:rsidRPr="009B6DB3">
              <w:rPr>
                <w:lang w:val="en-US"/>
              </w:rPr>
              <w:t xml:space="preserve"> form (</w:t>
            </w:r>
            <w:r w:rsidRPr="009B6DB3">
              <w:rPr>
                <w:lang w:val="en-US"/>
              </w:rPr>
              <w:t>i</w:t>
            </w:r>
            <w:r w:rsidR="005E5768" w:rsidRPr="009B6DB3">
              <w:rPr>
                <w:lang w:val="en-US"/>
              </w:rPr>
              <w:t xml:space="preserve">n </w:t>
            </w:r>
            <w:r w:rsidRPr="009B6DB3">
              <w:rPr>
                <w:lang w:val="en-US"/>
              </w:rPr>
              <w:t>bn</w:t>
            </w:r>
            <w:r w:rsidR="005E5768" w:rsidRPr="009B6DB3">
              <w:rPr>
                <w:lang w:val="en-US"/>
              </w:rPr>
              <w:t xml:space="preserve"> </w:t>
            </w:r>
            <w:r w:rsidR="006D2554">
              <w:rPr>
                <w:lang w:val="en-US"/>
              </w:rPr>
              <w:t>EUR</w:t>
            </w:r>
            <w:r w:rsidR="005E5768" w:rsidRPr="009B6DB3">
              <w:rPr>
                <w:lang w:val="en-US"/>
              </w:rPr>
              <w:t>)</w:t>
            </w:r>
          </w:p>
        </w:tc>
        <w:tc>
          <w:tcPr>
            <w:tcW w:w="1362" w:type="dxa"/>
            <w:vAlign w:val="center"/>
          </w:tcPr>
          <w:p w:rsidR="005E5768" w:rsidRPr="00F9770C" w:rsidRDefault="005E5768" w:rsidP="00232456">
            <w:pPr>
              <w:spacing w:before="60" w:after="60"/>
              <w:jc w:val="center"/>
              <w:cnfStyle w:val="100000000000" w:firstRow="1" w:lastRow="0" w:firstColumn="0" w:lastColumn="0" w:oddVBand="0" w:evenVBand="0" w:oddHBand="0" w:evenHBand="0" w:firstRowFirstColumn="0" w:firstRowLastColumn="0" w:lastRowFirstColumn="0" w:lastRowLastColumn="0"/>
            </w:pPr>
            <w:r w:rsidRPr="00F9770C">
              <w:t>FCP</w:t>
            </w:r>
          </w:p>
        </w:tc>
        <w:tc>
          <w:tcPr>
            <w:tcW w:w="1593" w:type="dxa"/>
            <w:vAlign w:val="center"/>
          </w:tcPr>
          <w:p w:rsidR="005E5768" w:rsidRPr="00F9770C" w:rsidRDefault="005E5768" w:rsidP="00232456">
            <w:pPr>
              <w:spacing w:before="60" w:after="60"/>
              <w:jc w:val="center"/>
              <w:cnfStyle w:val="100000000000" w:firstRow="1" w:lastRow="0" w:firstColumn="0" w:lastColumn="0" w:oddVBand="0" w:evenVBand="0" w:oddHBand="0" w:evenHBand="0" w:firstRowFirstColumn="0" w:firstRowLastColumn="0" w:lastRowFirstColumn="0" w:lastRowLastColumn="0"/>
            </w:pPr>
            <w:r w:rsidRPr="00F9770C">
              <w:t>SICAV</w:t>
            </w:r>
            <w:r w:rsidR="00BC1437">
              <w:t>s</w:t>
            </w:r>
          </w:p>
        </w:tc>
        <w:tc>
          <w:tcPr>
            <w:tcW w:w="1590" w:type="dxa"/>
            <w:vAlign w:val="center"/>
          </w:tcPr>
          <w:p w:rsidR="005E5768" w:rsidRPr="00F9770C" w:rsidRDefault="00BC1437" w:rsidP="00BC1437">
            <w:pPr>
              <w:spacing w:before="60" w:after="60"/>
              <w:jc w:val="center"/>
              <w:cnfStyle w:val="100000000000" w:firstRow="1" w:lastRow="0" w:firstColumn="0" w:lastColumn="0" w:oddVBand="0" w:evenVBand="0" w:oddHBand="0" w:evenHBand="0" w:firstRowFirstColumn="0" w:firstRowLastColumn="0" w:lastRowFirstColumn="0" w:lastRowLastColumn="0"/>
            </w:pPr>
            <w:r>
              <w:t>Other</w:t>
            </w:r>
            <w:r w:rsidR="00323A41">
              <w:t xml:space="preserve"> </w:t>
            </w:r>
            <w:r>
              <w:t>UCIs</w:t>
            </w:r>
            <w:r w:rsidR="00323A41">
              <w:t>/</w:t>
            </w:r>
            <w:r>
              <w:t>SIFs</w:t>
            </w:r>
          </w:p>
        </w:tc>
        <w:tc>
          <w:tcPr>
            <w:tcW w:w="1417" w:type="dxa"/>
            <w:vAlign w:val="center"/>
          </w:tcPr>
          <w:p w:rsidR="005E5768" w:rsidRPr="00F9770C" w:rsidRDefault="005E5768" w:rsidP="005E5768">
            <w:pPr>
              <w:spacing w:before="60" w:after="60"/>
              <w:jc w:val="center"/>
              <w:cnfStyle w:val="100000000000" w:firstRow="1" w:lastRow="0" w:firstColumn="0" w:lastColumn="0" w:oddVBand="0" w:evenVBand="0" w:oddHBand="0" w:evenHBand="0" w:firstRowFirstColumn="0" w:firstRowLastColumn="0" w:lastRowFirstColumn="0" w:lastRowLastColumn="0"/>
            </w:pPr>
            <w:r>
              <w:t>SICAR</w:t>
            </w:r>
            <w:r w:rsidR="00BC1437">
              <w:t>s</w:t>
            </w:r>
          </w:p>
        </w:tc>
        <w:tc>
          <w:tcPr>
            <w:tcW w:w="1551" w:type="dxa"/>
            <w:tcBorders>
              <w:right w:val="nil"/>
            </w:tcBorders>
            <w:vAlign w:val="center"/>
          </w:tcPr>
          <w:p w:rsidR="005E5768" w:rsidRPr="00F9770C" w:rsidRDefault="005E5768" w:rsidP="00BC1437">
            <w:pPr>
              <w:spacing w:before="60" w:after="60"/>
              <w:jc w:val="center"/>
              <w:cnfStyle w:val="100000000000" w:firstRow="1" w:lastRow="0" w:firstColumn="0" w:lastColumn="0" w:oddVBand="0" w:evenVBand="0" w:oddHBand="0" w:evenHBand="0" w:firstRowFirstColumn="0" w:firstRowLastColumn="0" w:lastRowFirstColumn="0" w:lastRowLastColumn="0"/>
            </w:pPr>
            <w:r w:rsidRPr="00F9770C">
              <w:t>T</w:t>
            </w:r>
            <w:r w:rsidR="00BC1437">
              <w:t>OTAL</w:t>
            </w:r>
          </w:p>
        </w:tc>
      </w:tr>
      <w:tr w:rsidR="005E5768" w:rsidRPr="00F9770C" w:rsidTr="005E5768">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5E5768" w:rsidRPr="00F9770C" w:rsidRDefault="005E5768" w:rsidP="00BC1437">
            <w:pPr>
              <w:spacing w:before="60" w:after="60"/>
            </w:pPr>
            <w:r w:rsidRPr="00F9770C">
              <w:t>Part I (</w:t>
            </w:r>
            <w:r w:rsidR="00BC1437">
              <w:t>2010 Law</w:t>
            </w:r>
            <w:r w:rsidRPr="00F9770C">
              <w:t>)</w:t>
            </w:r>
          </w:p>
        </w:tc>
        <w:tc>
          <w:tcPr>
            <w:tcW w:w="1362" w:type="dxa"/>
          </w:tcPr>
          <w:p w:rsidR="005E5768" w:rsidRPr="00F9770C" w:rsidRDefault="007A2EE8" w:rsidP="00702A4E">
            <w:pPr>
              <w:spacing w:before="60" w:after="60"/>
              <w:ind w:right="242"/>
              <w:jc w:val="right"/>
              <w:cnfStyle w:val="000000000000" w:firstRow="0" w:lastRow="0" w:firstColumn="0" w:lastColumn="0" w:oddVBand="0" w:evenVBand="0" w:oddHBand="0" w:evenHBand="0" w:firstRowFirstColumn="0" w:firstRowLastColumn="0" w:lastRowFirstColumn="0" w:lastRowLastColumn="0"/>
            </w:pPr>
            <w:r>
              <w:t>6</w:t>
            </w:r>
            <w:r w:rsidR="00BC1437">
              <w:t>31.</w:t>
            </w:r>
            <w:r>
              <w:t>952</w:t>
            </w:r>
          </w:p>
        </w:tc>
        <w:tc>
          <w:tcPr>
            <w:tcW w:w="1593" w:type="dxa"/>
          </w:tcPr>
          <w:p w:rsidR="005E5768" w:rsidRPr="00F9770C" w:rsidRDefault="00BC1437" w:rsidP="00BC1437">
            <w:pPr>
              <w:spacing w:before="60" w:after="60"/>
              <w:ind w:right="344"/>
              <w:jc w:val="right"/>
              <w:cnfStyle w:val="000000000000" w:firstRow="0" w:lastRow="0" w:firstColumn="0" w:lastColumn="0" w:oddVBand="0" w:evenVBand="0" w:oddHBand="0" w:evenHBand="0" w:firstRowFirstColumn="0" w:firstRowLastColumn="0" w:lastRowFirstColumn="0" w:lastRowLastColumn="0"/>
            </w:pPr>
            <w:r>
              <w:t>2,</w:t>
            </w:r>
            <w:r w:rsidR="007A2EE8">
              <w:t>696</w:t>
            </w:r>
            <w:r>
              <w:t>.</w:t>
            </w:r>
            <w:r w:rsidR="007A2EE8">
              <w:t>913</w:t>
            </w:r>
          </w:p>
        </w:tc>
        <w:tc>
          <w:tcPr>
            <w:tcW w:w="1590" w:type="dxa"/>
          </w:tcPr>
          <w:p w:rsidR="005E5768" w:rsidRPr="00F9770C" w:rsidRDefault="007A2EE8" w:rsidP="00232456">
            <w:pPr>
              <w:spacing w:before="60" w:after="60"/>
              <w:ind w:right="446"/>
              <w:jc w:val="right"/>
              <w:cnfStyle w:val="000000000000" w:firstRow="0" w:lastRow="0" w:firstColumn="0" w:lastColumn="0" w:oddVBand="0" w:evenVBand="0" w:oddHBand="0" w:evenHBand="0" w:firstRowFirstColumn="0" w:firstRowLastColumn="0" w:lastRowFirstColumn="0" w:lastRowLastColumn="0"/>
            </w:pPr>
            <w:r>
              <w:t>0</w:t>
            </w:r>
            <w:r w:rsidR="00BC1437">
              <w:t>.</w:t>
            </w:r>
            <w:r>
              <w:t>000</w:t>
            </w:r>
          </w:p>
        </w:tc>
        <w:tc>
          <w:tcPr>
            <w:tcW w:w="1417" w:type="dxa"/>
            <w:vAlign w:val="center"/>
          </w:tcPr>
          <w:p w:rsidR="005E5768" w:rsidRPr="005E5768" w:rsidRDefault="00BC1437" w:rsidP="005E5768">
            <w:pPr>
              <w:spacing w:before="60" w:after="60"/>
              <w:ind w:right="408"/>
              <w:jc w:val="right"/>
              <w:cnfStyle w:val="000000000000" w:firstRow="0" w:lastRow="0" w:firstColumn="0" w:lastColumn="0" w:oddVBand="0" w:evenVBand="0" w:oddHBand="0" w:evenHBand="0" w:firstRowFirstColumn="0" w:firstRowLastColumn="0" w:lastRowFirstColumn="0" w:lastRowLastColumn="0"/>
            </w:pPr>
            <w:r>
              <w:t>0.</w:t>
            </w:r>
            <w:r w:rsidR="007A2EE8">
              <w:t>000</w:t>
            </w:r>
          </w:p>
        </w:tc>
        <w:tc>
          <w:tcPr>
            <w:tcW w:w="1551" w:type="dxa"/>
            <w:tcBorders>
              <w:right w:val="nil"/>
            </w:tcBorders>
          </w:tcPr>
          <w:p w:rsidR="005E5768" w:rsidRPr="00F9770C" w:rsidRDefault="00BC1437" w:rsidP="00702A4E">
            <w:pPr>
              <w:spacing w:before="60" w:after="60"/>
              <w:ind w:right="408"/>
              <w:jc w:val="right"/>
              <w:cnfStyle w:val="000000000000" w:firstRow="0" w:lastRow="0" w:firstColumn="0" w:lastColumn="0" w:oddVBand="0" w:evenVBand="0" w:oddHBand="0" w:evenHBand="0" w:firstRowFirstColumn="0" w:firstRowLastColumn="0" w:lastRowFirstColumn="0" w:lastRowLastColumn="0"/>
              <w:rPr>
                <w:b/>
              </w:rPr>
            </w:pPr>
            <w:r>
              <w:rPr>
                <w:b/>
              </w:rPr>
              <w:t>3,328.</w:t>
            </w:r>
            <w:r w:rsidR="007A2EE8">
              <w:rPr>
                <w:b/>
              </w:rPr>
              <w:t>865</w:t>
            </w:r>
          </w:p>
        </w:tc>
      </w:tr>
      <w:tr w:rsidR="005E5768" w:rsidRPr="00F9770C" w:rsidTr="005E5768">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5E5768" w:rsidRPr="00F9770C" w:rsidRDefault="005E5768" w:rsidP="00BC1437">
            <w:pPr>
              <w:spacing w:before="60" w:after="60"/>
            </w:pPr>
            <w:r w:rsidRPr="00F9770C">
              <w:t>Part II (</w:t>
            </w:r>
            <w:r w:rsidR="00BC1437">
              <w:t>2010 Law</w:t>
            </w:r>
            <w:r w:rsidRPr="00F9770C">
              <w:t>)</w:t>
            </w:r>
          </w:p>
        </w:tc>
        <w:tc>
          <w:tcPr>
            <w:tcW w:w="1362" w:type="dxa"/>
          </w:tcPr>
          <w:p w:rsidR="005E5768" w:rsidRPr="00F9770C" w:rsidRDefault="007A2EE8" w:rsidP="000546CB">
            <w:pPr>
              <w:spacing w:before="60" w:after="60"/>
              <w:ind w:right="242"/>
              <w:jc w:val="right"/>
              <w:cnfStyle w:val="000000000000" w:firstRow="0" w:lastRow="0" w:firstColumn="0" w:lastColumn="0" w:oddVBand="0" w:evenVBand="0" w:oddHBand="0" w:evenHBand="0" w:firstRowFirstColumn="0" w:firstRowLastColumn="0" w:lastRowFirstColumn="0" w:lastRowLastColumn="0"/>
            </w:pPr>
            <w:r>
              <w:t>5</w:t>
            </w:r>
            <w:r w:rsidR="00BC1437">
              <w:t>4.</w:t>
            </w:r>
            <w:r>
              <w:t>759</w:t>
            </w:r>
          </w:p>
        </w:tc>
        <w:tc>
          <w:tcPr>
            <w:tcW w:w="1593" w:type="dxa"/>
          </w:tcPr>
          <w:p w:rsidR="005E5768" w:rsidRPr="00F9770C" w:rsidRDefault="00BC1437" w:rsidP="000546CB">
            <w:pPr>
              <w:spacing w:before="60" w:after="60"/>
              <w:ind w:right="344"/>
              <w:jc w:val="right"/>
              <w:cnfStyle w:val="000000000000" w:firstRow="0" w:lastRow="0" w:firstColumn="0" w:lastColumn="0" w:oddVBand="0" w:evenVBand="0" w:oddHBand="0" w:evenHBand="0" w:firstRowFirstColumn="0" w:firstRowLastColumn="0" w:lastRowFirstColumn="0" w:lastRowLastColumn="0"/>
            </w:pPr>
            <w:r>
              <w:t>101.</w:t>
            </w:r>
            <w:r w:rsidR="007A2EE8">
              <w:t>043</w:t>
            </w:r>
          </w:p>
        </w:tc>
        <w:tc>
          <w:tcPr>
            <w:tcW w:w="1590" w:type="dxa"/>
          </w:tcPr>
          <w:p w:rsidR="005E5768" w:rsidRPr="00F9770C" w:rsidRDefault="00BC1437" w:rsidP="00702A4E">
            <w:pPr>
              <w:spacing w:before="60" w:after="60"/>
              <w:ind w:right="446"/>
              <w:jc w:val="right"/>
              <w:cnfStyle w:val="000000000000" w:firstRow="0" w:lastRow="0" w:firstColumn="0" w:lastColumn="0" w:oddVBand="0" w:evenVBand="0" w:oddHBand="0" w:evenHBand="0" w:firstRowFirstColumn="0" w:firstRowLastColumn="0" w:lastRowFirstColumn="0" w:lastRowLastColumn="0"/>
            </w:pPr>
            <w:r>
              <w:t>0.</w:t>
            </w:r>
            <w:r w:rsidR="007A2EE8">
              <w:t>646</w:t>
            </w:r>
          </w:p>
        </w:tc>
        <w:tc>
          <w:tcPr>
            <w:tcW w:w="1417" w:type="dxa"/>
            <w:vAlign w:val="center"/>
          </w:tcPr>
          <w:p w:rsidR="005E5768" w:rsidRPr="005E5768" w:rsidRDefault="00BC1437" w:rsidP="005E5768">
            <w:pPr>
              <w:spacing w:before="60" w:after="60"/>
              <w:ind w:right="408"/>
              <w:jc w:val="right"/>
              <w:cnfStyle w:val="000000000000" w:firstRow="0" w:lastRow="0" w:firstColumn="0" w:lastColumn="0" w:oddVBand="0" w:evenVBand="0" w:oddHBand="0" w:evenHBand="0" w:firstRowFirstColumn="0" w:firstRowLastColumn="0" w:lastRowFirstColumn="0" w:lastRowLastColumn="0"/>
            </w:pPr>
            <w:r>
              <w:t>0.</w:t>
            </w:r>
            <w:r w:rsidR="007A2EE8">
              <w:t>000</w:t>
            </w:r>
          </w:p>
        </w:tc>
        <w:tc>
          <w:tcPr>
            <w:tcW w:w="1551" w:type="dxa"/>
            <w:tcBorders>
              <w:right w:val="nil"/>
            </w:tcBorders>
          </w:tcPr>
          <w:p w:rsidR="005E5768" w:rsidRPr="00F9770C" w:rsidRDefault="00BC1437" w:rsidP="000546CB">
            <w:pPr>
              <w:spacing w:before="60" w:after="60"/>
              <w:ind w:right="408"/>
              <w:jc w:val="right"/>
              <w:cnfStyle w:val="000000000000" w:firstRow="0" w:lastRow="0" w:firstColumn="0" w:lastColumn="0" w:oddVBand="0" w:evenVBand="0" w:oddHBand="0" w:evenHBand="0" w:firstRowFirstColumn="0" w:firstRowLastColumn="0" w:lastRowFirstColumn="0" w:lastRowLastColumn="0"/>
              <w:rPr>
                <w:b/>
              </w:rPr>
            </w:pPr>
            <w:r>
              <w:rPr>
                <w:b/>
              </w:rPr>
              <w:t>156.</w:t>
            </w:r>
            <w:r w:rsidR="007A2EE8">
              <w:rPr>
                <w:b/>
              </w:rPr>
              <w:t>448</w:t>
            </w:r>
          </w:p>
        </w:tc>
      </w:tr>
      <w:tr w:rsidR="005E5768" w:rsidRPr="00F9770C" w:rsidTr="005E5768">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5E5768" w:rsidRPr="00F9770C" w:rsidRDefault="00BC1437" w:rsidP="00232456">
            <w:pPr>
              <w:spacing w:before="60" w:after="60"/>
            </w:pPr>
            <w:r>
              <w:t>SIFs</w:t>
            </w:r>
          </w:p>
        </w:tc>
        <w:tc>
          <w:tcPr>
            <w:tcW w:w="1362" w:type="dxa"/>
          </w:tcPr>
          <w:p w:rsidR="005E5768" w:rsidRPr="00F9770C" w:rsidRDefault="00BC1437" w:rsidP="000546CB">
            <w:pPr>
              <w:spacing w:before="60" w:after="60"/>
              <w:ind w:right="242"/>
              <w:jc w:val="right"/>
              <w:cnfStyle w:val="000000000000" w:firstRow="0" w:lastRow="0" w:firstColumn="0" w:lastColumn="0" w:oddVBand="0" w:evenVBand="0" w:oddHBand="0" w:evenHBand="0" w:firstRowFirstColumn="0" w:firstRowLastColumn="0" w:lastRowFirstColumn="0" w:lastRowLastColumn="0"/>
            </w:pPr>
            <w:r>
              <w:t>163.</w:t>
            </w:r>
            <w:r w:rsidR="007A2EE8">
              <w:t>327</w:t>
            </w:r>
          </w:p>
        </w:tc>
        <w:tc>
          <w:tcPr>
            <w:tcW w:w="1593" w:type="dxa"/>
          </w:tcPr>
          <w:p w:rsidR="005E5768" w:rsidRPr="00F9770C" w:rsidRDefault="00BC1437" w:rsidP="000546CB">
            <w:pPr>
              <w:spacing w:before="60" w:after="60"/>
              <w:ind w:right="344"/>
              <w:jc w:val="right"/>
              <w:cnfStyle w:val="000000000000" w:firstRow="0" w:lastRow="0" w:firstColumn="0" w:lastColumn="0" w:oddVBand="0" w:evenVBand="0" w:oddHBand="0" w:evenHBand="0" w:firstRowFirstColumn="0" w:firstRowLastColumn="0" w:lastRowFirstColumn="0" w:lastRowLastColumn="0"/>
            </w:pPr>
            <w:r>
              <w:t>270.</w:t>
            </w:r>
            <w:r w:rsidR="007A2EE8">
              <w:t>752</w:t>
            </w:r>
          </w:p>
        </w:tc>
        <w:tc>
          <w:tcPr>
            <w:tcW w:w="1590" w:type="dxa"/>
          </w:tcPr>
          <w:p w:rsidR="005E5768" w:rsidRPr="00F9770C" w:rsidRDefault="00BC1437" w:rsidP="00702A4E">
            <w:pPr>
              <w:spacing w:before="60" w:after="60"/>
              <w:ind w:right="446"/>
              <w:jc w:val="right"/>
              <w:cnfStyle w:val="000000000000" w:firstRow="0" w:lastRow="0" w:firstColumn="0" w:lastColumn="0" w:oddVBand="0" w:evenVBand="0" w:oddHBand="0" w:evenHBand="0" w:firstRowFirstColumn="0" w:firstRowLastColumn="0" w:lastRowFirstColumn="0" w:lastRowLastColumn="0"/>
            </w:pPr>
            <w:r>
              <w:t>24.</w:t>
            </w:r>
            <w:r w:rsidR="007A2EE8">
              <w:t>832</w:t>
            </w:r>
          </w:p>
        </w:tc>
        <w:tc>
          <w:tcPr>
            <w:tcW w:w="1417" w:type="dxa"/>
            <w:vAlign w:val="center"/>
          </w:tcPr>
          <w:p w:rsidR="005E5768" w:rsidRPr="005E5768" w:rsidRDefault="00BC1437" w:rsidP="005E5768">
            <w:pPr>
              <w:spacing w:before="60" w:after="60"/>
              <w:ind w:right="408"/>
              <w:jc w:val="right"/>
              <w:cnfStyle w:val="000000000000" w:firstRow="0" w:lastRow="0" w:firstColumn="0" w:lastColumn="0" w:oddVBand="0" w:evenVBand="0" w:oddHBand="0" w:evenHBand="0" w:firstRowFirstColumn="0" w:firstRowLastColumn="0" w:lastRowFirstColumn="0" w:lastRowLastColumn="0"/>
            </w:pPr>
            <w:r>
              <w:t>0.</w:t>
            </w:r>
            <w:r w:rsidR="007A2EE8">
              <w:t>000</w:t>
            </w:r>
          </w:p>
        </w:tc>
        <w:tc>
          <w:tcPr>
            <w:tcW w:w="1551" w:type="dxa"/>
            <w:tcBorders>
              <w:right w:val="nil"/>
            </w:tcBorders>
          </w:tcPr>
          <w:p w:rsidR="005E5768" w:rsidRPr="00F9770C" w:rsidRDefault="00BC1437" w:rsidP="000546CB">
            <w:pPr>
              <w:spacing w:before="60" w:after="60"/>
              <w:ind w:right="408"/>
              <w:jc w:val="right"/>
              <w:cnfStyle w:val="000000000000" w:firstRow="0" w:lastRow="0" w:firstColumn="0" w:lastColumn="0" w:oddVBand="0" w:evenVBand="0" w:oddHBand="0" w:evenHBand="0" w:firstRowFirstColumn="0" w:firstRowLastColumn="0" w:lastRowFirstColumn="0" w:lastRowLastColumn="0"/>
              <w:rPr>
                <w:b/>
              </w:rPr>
            </w:pPr>
            <w:r>
              <w:rPr>
                <w:b/>
              </w:rPr>
              <w:t>485.</w:t>
            </w:r>
            <w:r w:rsidR="007A2EE8">
              <w:rPr>
                <w:b/>
              </w:rPr>
              <w:t>911</w:t>
            </w:r>
          </w:p>
        </w:tc>
      </w:tr>
      <w:tr w:rsidR="005E5768" w:rsidRPr="00F9770C" w:rsidTr="005E5768">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5E5768" w:rsidRPr="00F9770C" w:rsidRDefault="005E5768" w:rsidP="00232456">
            <w:pPr>
              <w:spacing w:before="60" w:after="60"/>
            </w:pPr>
            <w:r>
              <w:t>SICAR</w:t>
            </w:r>
            <w:r w:rsidR="00BC1437">
              <w:t>s</w:t>
            </w:r>
          </w:p>
        </w:tc>
        <w:tc>
          <w:tcPr>
            <w:tcW w:w="1362" w:type="dxa"/>
          </w:tcPr>
          <w:p w:rsidR="005E5768" w:rsidRDefault="00BC1437" w:rsidP="000546CB">
            <w:pPr>
              <w:spacing w:before="60" w:after="60"/>
              <w:ind w:right="242"/>
              <w:jc w:val="right"/>
              <w:cnfStyle w:val="000000000000" w:firstRow="0" w:lastRow="0" w:firstColumn="0" w:lastColumn="0" w:oddVBand="0" w:evenVBand="0" w:oddHBand="0" w:evenHBand="0" w:firstRowFirstColumn="0" w:firstRowLastColumn="0" w:lastRowFirstColumn="0" w:lastRowLastColumn="0"/>
            </w:pPr>
            <w:r>
              <w:t>0.</w:t>
            </w:r>
            <w:r w:rsidR="007A2EE8">
              <w:t>000</w:t>
            </w:r>
          </w:p>
        </w:tc>
        <w:tc>
          <w:tcPr>
            <w:tcW w:w="1593" w:type="dxa"/>
          </w:tcPr>
          <w:p w:rsidR="005E5768" w:rsidRDefault="00BC1437" w:rsidP="000546CB">
            <w:pPr>
              <w:spacing w:before="60" w:after="60"/>
              <w:ind w:right="344"/>
              <w:jc w:val="right"/>
              <w:cnfStyle w:val="000000000000" w:firstRow="0" w:lastRow="0" w:firstColumn="0" w:lastColumn="0" w:oddVBand="0" w:evenVBand="0" w:oddHBand="0" w:evenHBand="0" w:firstRowFirstColumn="0" w:firstRowLastColumn="0" w:lastRowFirstColumn="0" w:lastRowLastColumn="0"/>
            </w:pPr>
            <w:r>
              <w:t>0.</w:t>
            </w:r>
            <w:r w:rsidR="007A2EE8">
              <w:t>000</w:t>
            </w:r>
          </w:p>
        </w:tc>
        <w:tc>
          <w:tcPr>
            <w:tcW w:w="1590" w:type="dxa"/>
          </w:tcPr>
          <w:p w:rsidR="005E5768" w:rsidRPr="00F9770C" w:rsidRDefault="00BC1437" w:rsidP="00702A4E">
            <w:pPr>
              <w:spacing w:before="60" w:after="60"/>
              <w:ind w:right="446"/>
              <w:jc w:val="right"/>
              <w:cnfStyle w:val="000000000000" w:firstRow="0" w:lastRow="0" w:firstColumn="0" w:lastColumn="0" w:oddVBand="0" w:evenVBand="0" w:oddHBand="0" w:evenHBand="0" w:firstRowFirstColumn="0" w:firstRowLastColumn="0" w:lastRowFirstColumn="0" w:lastRowLastColumn="0"/>
            </w:pPr>
            <w:r>
              <w:t>0.</w:t>
            </w:r>
            <w:r w:rsidR="007A2EE8">
              <w:t>000</w:t>
            </w:r>
          </w:p>
        </w:tc>
        <w:tc>
          <w:tcPr>
            <w:tcW w:w="1417" w:type="dxa"/>
            <w:vAlign w:val="center"/>
          </w:tcPr>
          <w:p w:rsidR="005E5768" w:rsidRPr="005E5768" w:rsidRDefault="00BC1437" w:rsidP="005E5768">
            <w:pPr>
              <w:spacing w:before="60" w:after="60"/>
              <w:ind w:right="408"/>
              <w:jc w:val="right"/>
              <w:cnfStyle w:val="000000000000" w:firstRow="0" w:lastRow="0" w:firstColumn="0" w:lastColumn="0" w:oddVBand="0" w:evenVBand="0" w:oddHBand="0" w:evenHBand="0" w:firstRowFirstColumn="0" w:firstRowLastColumn="0" w:lastRowFirstColumn="0" w:lastRowLastColumn="0"/>
            </w:pPr>
            <w:r>
              <w:t>43.</w:t>
            </w:r>
            <w:r w:rsidR="007A2EE8">
              <w:t>104</w:t>
            </w:r>
          </w:p>
        </w:tc>
        <w:tc>
          <w:tcPr>
            <w:tcW w:w="1551" w:type="dxa"/>
            <w:tcBorders>
              <w:right w:val="nil"/>
            </w:tcBorders>
          </w:tcPr>
          <w:p w:rsidR="005E5768" w:rsidRDefault="00BC1437" w:rsidP="000546CB">
            <w:pPr>
              <w:spacing w:before="60" w:after="60"/>
              <w:ind w:right="408"/>
              <w:jc w:val="right"/>
              <w:cnfStyle w:val="000000000000" w:firstRow="0" w:lastRow="0" w:firstColumn="0" w:lastColumn="0" w:oddVBand="0" w:evenVBand="0" w:oddHBand="0" w:evenHBand="0" w:firstRowFirstColumn="0" w:firstRowLastColumn="0" w:lastRowFirstColumn="0" w:lastRowLastColumn="0"/>
              <w:rPr>
                <w:b/>
              </w:rPr>
            </w:pPr>
            <w:r>
              <w:rPr>
                <w:b/>
              </w:rPr>
              <w:t>43.</w:t>
            </w:r>
            <w:r w:rsidR="007A2EE8">
              <w:rPr>
                <w:b/>
              </w:rPr>
              <w:t>104</w:t>
            </w:r>
          </w:p>
        </w:tc>
      </w:tr>
      <w:tr w:rsidR="005E5768" w:rsidRPr="00F9770C" w:rsidTr="005E5768">
        <w:tc>
          <w:tcPr>
            <w:cnfStyle w:val="001000000000" w:firstRow="0" w:lastRow="0" w:firstColumn="1" w:lastColumn="0" w:oddVBand="0" w:evenVBand="0" w:oddHBand="0" w:evenHBand="0" w:firstRowFirstColumn="0" w:firstRowLastColumn="0" w:lastRowFirstColumn="0" w:lastRowLastColumn="0"/>
            <w:tcW w:w="1844" w:type="dxa"/>
            <w:tcBorders>
              <w:left w:val="nil"/>
            </w:tcBorders>
          </w:tcPr>
          <w:p w:rsidR="005E5768" w:rsidRPr="00F9770C" w:rsidRDefault="005E5768" w:rsidP="00232456">
            <w:pPr>
              <w:spacing w:before="60" w:after="60"/>
            </w:pPr>
            <w:r w:rsidRPr="00F9770C">
              <w:t>TOTAL</w:t>
            </w:r>
          </w:p>
        </w:tc>
        <w:tc>
          <w:tcPr>
            <w:tcW w:w="1362" w:type="dxa"/>
          </w:tcPr>
          <w:p w:rsidR="005E5768" w:rsidRPr="00F9770C" w:rsidRDefault="00BC1437" w:rsidP="00702A4E">
            <w:pPr>
              <w:spacing w:before="60" w:after="60"/>
              <w:ind w:right="242"/>
              <w:jc w:val="right"/>
              <w:cnfStyle w:val="000000000000" w:firstRow="0" w:lastRow="0" w:firstColumn="0" w:lastColumn="0" w:oddVBand="0" w:evenVBand="0" w:oddHBand="0" w:evenHBand="0" w:firstRowFirstColumn="0" w:firstRowLastColumn="0" w:lastRowFirstColumn="0" w:lastRowLastColumn="0"/>
              <w:rPr>
                <w:b/>
              </w:rPr>
            </w:pPr>
            <w:r>
              <w:rPr>
                <w:b/>
              </w:rPr>
              <w:t>850.</w:t>
            </w:r>
            <w:r w:rsidR="007A2EE8">
              <w:rPr>
                <w:b/>
              </w:rPr>
              <w:t>038</w:t>
            </w:r>
          </w:p>
        </w:tc>
        <w:tc>
          <w:tcPr>
            <w:tcW w:w="1593" w:type="dxa"/>
          </w:tcPr>
          <w:p w:rsidR="005E5768" w:rsidRPr="00F9770C" w:rsidRDefault="00BC1437" w:rsidP="00702A4E">
            <w:pPr>
              <w:spacing w:before="60" w:after="60"/>
              <w:ind w:right="344"/>
              <w:jc w:val="right"/>
              <w:cnfStyle w:val="000000000000" w:firstRow="0" w:lastRow="0" w:firstColumn="0" w:lastColumn="0" w:oddVBand="0" w:evenVBand="0" w:oddHBand="0" w:evenHBand="0" w:firstRowFirstColumn="0" w:firstRowLastColumn="0" w:lastRowFirstColumn="0" w:lastRowLastColumn="0"/>
              <w:rPr>
                <w:b/>
              </w:rPr>
            </w:pPr>
            <w:r>
              <w:rPr>
                <w:b/>
              </w:rPr>
              <w:t>3,068.</w:t>
            </w:r>
            <w:r w:rsidR="007A2EE8">
              <w:rPr>
                <w:b/>
              </w:rPr>
              <w:t>708</w:t>
            </w:r>
          </w:p>
        </w:tc>
        <w:tc>
          <w:tcPr>
            <w:tcW w:w="1590" w:type="dxa"/>
          </w:tcPr>
          <w:p w:rsidR="005E5768" w:rsidRPr="00F9770C" w:rsidRDefault="00BC1437" w:rsidP="00702A4E">
            <w:pPr>
              <w:spacing w:before="60" w:after="60"/>
              <w:ind w:right="446"/>
              <w:jc w:val="right"/>
              <w:cnfStyle w:val="000000000000" w:firstRow="0" w:lastRow="0" w:firstColumn="0" w:lastColumn="0" w:oddVBand="0" w:evenVBand="0" w:oddHBand="0" w:evenHBand="0" w:firstRowFirstColumn="0" w:firstRowLastColumn="0" w:lastRowFirstColumn="0" w:lastRowLastColumn="0"/>
              <w:rPr>
                <w:b/>
              </w:rPr>
            </w:pPr>
            <w:r>
              <w:rPr>
                <w:b/>
              </w:rPr>
              <w:t>25.</w:t>
            </w:r>
            <w:r w:rsidR="007A2EE8">
              <w:rPr>
                <w:b/>
              </w:rPr>
              <w:t>478</w:t>
            </w:r>
          </w:p>
        </w:tc>
        <w:tc>
          <w:tcPr>
            <w:tcW w:w="1417" w:type="dxa"/>
            <w:vAlign w:val="center"/>
          </w:tcPr>
          <w:p w:rsidR="005E5768" w:rsidRPr="00F9770C" w:rsidRDefault="00BC1437" w:rsidP="005E5768">
            <w:pPr>
              <w:spacing w:before="60" w:after="60"/>
              <w:ind w:right="408"/>
              <w:jc w:val="right"/>
              <w:cnfStyle w:val="000000000000" w:firstRow="0" w:lastRow="0" w:firstColumn="0" w:lastColumn="0" w:oddVBand="0" w:evenVBand="0" w:oddHBand="0" w:evenHBand="0" w:firstRowFirstColumn="0" w:firstRowLastColumn="0" w:lastRowFirstColumn="0" w:lastRowLastColumn="0"/>
              <w:rPr>
                <w:b/>
              </w:rPr>
            </w:pPr>
            <w:r>
              <w:rPr>
                <w:b/>
              </w:rPr>
              <w:t>43.</w:t>
            </w:r>
            <w:r w:rsidR="007A2EE8">
              <w:rPr>
                <w:b/>
              </w:rPr>
              <w:t>104</w:t>
            </w:r>
          </w:p>
        </w:tc>
        <w:tc>
          <w:tcPr>
            <w:tcW w:w="1551" w:type="dxa"/>
            <w:tcBorders>
              <w:right w:val="nil"/>
            </w:tcBorders>
          </w:tcPr>
          <w:p w:rsidR="005E5768" w:rsidRPr="00F9770C" w:rsidRDefault="00BC1437" w:rsidP="005E5768">
            <w:pPr>
              <w:spacing w:before="60" w:after="60"/>
              <w:ind w:right="408"/>
              <w:jc w:val="right"/>
              <w:cnfStyle w:val="000000000000" w:firstRow="0" w:lastRow="0" w:firstColumn="0" w:lastColumn="0" w:oddVBand="0" w:evenVBand="0" w:oddHBand="0" w:evenHBand="0" w:firstRowFirstColumn="0" w:firstRowLastColumn="0" w:lastRowFirstColumn="0" w:lastRowLastColumn="0"/>
              <w:rPr>
                <w:b/>
              </w:rPr>
            </w:pPr>
            <w:r>
              <w:rPr>
                <w:b/>
              </w:rPr>
              <w:t>3,987.</w:t>
            </w:r>
            <w:r w:rsidR="007A2EE8">
              <w:rPr>
                <w:b/>
              </w:rPr>
              <w:t>328</w:t>
            </w:r>
          </w:p>
        </w:tc>
      </w:tr>
    </w:tbl>
    <w:p w:rsidR="00460449" w:rsidRPr="00F006AF" w:rsidRDefault="00AB1F1E" w:rsidP="00F006AF">
      <w:pPr>
        <w:pStyle w:val="Heading3"/>
      </w:pPr>
      <w:r>
        <w:lastRenderedPageBreak/>
        <w:t>Breakdown according to investment policy</w:t>
      </w:r>
    </w:p>
    <w:tbl>
      <w:tblPr>
        <w:tblStyle w:val="GridTable1Light-Accent1"/>
        <w:tblW w:w="8931" w:type="dxa"/>
        <w:tblLook w:val="04A0" w:firstRow="1" w:lastRow="0" w:firstColumn="1" w:lastColumn="0" w:noHBand="0" w:noVBand="1"/>
      </w:tblPr>
      <w:tblGrid>
        <w:gridCol w:w="5812"/>
        <w:gridCol w:w="1701"/>
        <w:gridCol w:w="1418"/>
      </w:tblGrid>
      <w:tr w:rsidR="00884D6B" w:rsidRPr="00884D6B" w:rsidTr="00884D6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884D6B" w:rsidRPr="00F37E75" w:rsidRDefault="00F37E75" w:rsidP="001940FF">
            <w:pPr>
              <w:spacing w:before="60" w:after="60" w:line="240" w:lineRule="auto"/>
              <w:jc w:val="left"/>
              <w:rPr>
                <w:rFonts w:eastAsia="Times New Roman" w:cs="Arial"/>
                <w:szCs w:val="20"/>
                <w:lang w:val="en-US" w:eastAsia="fr-LU"/>
              </w:rPr>
            </w:pPr>
            <w:r w:rsidRPr="00F37E75">
              <w:rPr>
                <w:rFonts w:eastAsia="Times New Roman" w:cs="Arial"/>
                <w:szCs w:val="20"/>
                <w:lang w:val="en-US" w:eastAsia="fr-LU"/>
              </w:rPr>
              <w:t>Breakdown according to investment policy</w:t>
            </w:r>
          </w:p>
        </w:tc>
        <w:tc>
          <w:tcPr>
            <w:tcW w:w="1701" w:type="dxa"/>
            <w:vAlign w:val="center"/>
            <w:hideMark/>
          </w:tcPr>
          <w:p w:rsidR="00884D6B" w:rsidRPr="003F4625" w:rsidRDefault="00F37E75" w:rsidP="006D255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Net assets</w:t>
            </w:r>
            <w:r w:rsidR="00884D6B" w:rsidRPr="003F4625">
              <w:rPr>
                <w:rFonts w:eastAsia="Times New Roman" w:cs="Arial"/>
                <w:szCs w:val="20"/>
                <w:lang w:eastAsia="fr-LU"/>
              </w:rPr>
              <w:br/>
              <w:t>(</w:t>
            </w:r>
            <w:r>
              <w:rPr>
                <w:rFonts w:eastAsia="Times New Roman" w:cs="Arial"/>
                <w:szCs w:val="20"/>
                <w:lang w:eastAsia="fr-LU"/>
              </w:rPr>
              <w:t>i</w:t>
            </w:r>
            <w:r w:rsidR="00884D6B" w:rsidRPr="003F4625">
              <w:rPr>
                <w:rFonts w:eastAsia="Times New Roman" w:cs="Arial"/>
                <w:szCs w:val="20"/>
                <w:lang w:eastAsia="fr-LU"/>
              </w:rPr>
              <w:t xml:space="preserve">n </w:t>
            </w:r>
            <w:r>
              <w:rPr>
                <w:rFonts w:eastAsia="Times New Roman" w:cs="Arial"/>
                <w:szCs w:val="20"/>
                <w:lang w:eastAsia="fr-LU"/>
              </w:rPr>
              <w:t>bn</w:t>
            </w:r>
            <w:r w:rsidR="00884D6B" w:rsidRPr="003F4625">
              <w:rPr>
                <w:rFonts w:eastAsia="Times New Roman" w:cs="Arial"/>
                <w:szCs w:val="20"/>
                <w:lang w:eastAsia="fr-LU"/>
              </w:rPr>
              <w:t xml:space="preserve"> </w:t>
            </w:r>
            <w:r w:rsidR="006D2554">
              <w:rPr>
                <w:rFonts w:eastAsia="Times New Roman" w:cs="Arial"/>
                <w:szCs w:val="20"/>
                <w:lang w:eastAsia="fr-LU"/>
              </w:rPr>
              <w:t>EUR</w:t>
            </w:r>
            <w:r w:rsidR="00884D6B" w:rsidRPr="003F4625">
              <w:rPr>
                <w:rFonts w:eastAsia="Times New Roman" w:cs="Arial"/>
                <w:szCs w:val="20"/>
                <w:lang w:eastAsia="fr-LU"/>
              </w:rPr>
              <w:t>)</w:t>
            </w:r>
          </w:p>
        </w:tc>
        <w:tc>
          <w:tcPr>
            <w:tcW w:w="1418" w:type="dxa"/>
            <w:vAlign w:val="center"/>
            <w:hideMark/>
          </w:tcPr>
          <w:p w:rsidR="00884D6B" w:rsidRPr="003F4625" w:rsidRDefault="00F37E75" w:rsidP="00F37E75">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Number of</w:t>
            </w:r>
            <w:r w:rsidR="00884D6B" w:rsidRPr="003F4625">
              <w:rPr>
                <w:rFonts w:eastAsia="Times New Roman" w:cs="Arial"/>
                <w:szCs w:val="20"/>
                <w:lang w:eastAsia="fr-LU"/>
              </w:rPr>
              <w:br/>
            </w:r>
            <w:r w:rsidR="00A25976">
              <w:rPr>
                <w:rFonts w:eastAsia="Times New Roman" w:cs="Arial"/>
                <w:szCs w:val="20"/>
                <w:lang w:eastAsia="fr-LU"/>
              </w:rPr>
              <w:t>fund unit</w:t>
            </w:r>
            <w:r>
              <w:rPr>
                <w:rFonts w:eastAsia="Times New Roman" w:cs="Arial"/>
                <w:szCs w:val="20"/>
                <w:lang w:eastAsia="fr-LU"/>
              </w:rPr>
              <w:t>s</w:t>
            </w:r>
            <w:r w:rsidR="00C45616">
              <w:rPr>
                <w:rStyle w:val="FootnoteReference"/>
                <w:rFonts w:eastAsia="Times New Roman" w:cs="Arial"/>
                <w:szCs w:val="20"/>
                <w:lang w:eastAsia="fr-LU"/>
              </w:rPr>
              <w:footnoteReference w:id="7"/>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sidRPr="00F37E75">
              <w:rPr>
                <w:rFonts w:eastAsia="Times New Roman" w:cs="Arial"/>
                <w:b w:val="0"/>
                <w:szCs w:val="20"/>
                <w:lang w:eastAsia="fr-LU"/>
              </w:rPr>
              <w:t>Fixed-income securities</w:t>
            </w:r>
          </w:p>
        </w:tc>
        <w:tc>
          <w:tcPr>
            <w:tcW w:w="1701" w:type="dxa"/>
            <w:noWrap/>
            <w:vAlign w:val="center"/>
          </w:tcPr>
          <w:p w:rsidR="00E11ACE" w:rsidRDefault="00F37E75" w:rsidP="004A6A38">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Cs w:val="20"/>
                <w:lang w:eastAsia="fr-LU"/>
              </w:rPr>
            </w:pPr>
            <w:r>
              <w:rPr>
                <w:rFonts w:cs="Arial"/>
                <w:szCs w:val="20"/>
              </w:rPr>
              <w:t>1,208.</w:t>
            </w:r>
            <w:r w:rsidR="00E11ACE">
              <w:rPr>
                <w:rFonts w:cs="Arial"/>
                <w:szCs w:val="20"/>
              </w:rPr>
              <w:t>378</w:t>
            </w:r>
          </w:p>
        </w:tc>
        <w:tc>
          <w:tcPr>
            <w:tcW w:w="1418" w:type="dxa"/>
            <w:noWrap/>
            <w:vAlign w:val="center"/>
          </w:tcPr>
          <w:p w:rsidR="00E11ACE" w:rsidRDefault="00782B3A"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r w:rsidR="00E11ACE">
              <w:rPr>
                <w:rFonts w:cs="Arial"/>
                <w:szCs w:val="20"/>
              </w:rPr>
              <w:t>146</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sidRPr="00F37E75">
              <w:rPr>
                <w:rFonts w:eastAsia="Times New Roman" w:cs="Arial"/>
                <w:b w:val="0"/>
                <w:szCs w:val="20"/>
                <w:lang w:eastAsia="fr-LU"/>
              </w:rPr>
              <w:t>Variable-yield transferable securities</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1,151.</w:t>
            </w:r>
            <w:r w:rsidR="00E11ACE">
              <w:rPr>
                <w:rFonts w:cs="Arial"/>
                <w:szCs w:val="20"/>
              </w:rPr>
              <w:t>985</w:t>
            </w:r>
          </w:p>
        </w:tc>
        <w:tc>
          <w:tcPr>
            <w:tcW w:w="1418" w:type="dxa"/>
            <w:noWrap/>
            <w:vAlign w:val="center"/>
          </w:tcPr>
          <w:p w:rsidR="00E11ACE" w:rsidRDefault="00782B3A"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r w:rsidR="00E11ACE">
              <w:rPr>
                <w:rFonts w:cs="Arial"/>
                <w:szCs w:val="20"/>
              </w:rPr>
              <w:t>797</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sidRPr="00F37E75">
              <w:rPr>
                <w:rFonts w:eastAsia="Times New Roman" w:cs="Arial"/>
                <w:b w:val="0"/>
                <w:szCs w:val="20"/>
                <w:lang w:eastAsia="fr-LU"/>
              </w:rPr>
              <w:t>Mixed transferable securities</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862.</w:t>
            </w:r>
            <w:r w:rsidR="00E11ACE">
              <w:rPr>
                <w:rFonts w:cs="Arial"/>
                <w:szCs w:val="20"/>
              </w:rPr>
              <w:t>906</w:t>
            </w:r>
          </w:p>
        </w:tc>
        <w:tc>
          <w:tcPr>
            <w:tcW w:w="1418" w:type="dxa"/>
            <w:noWrap/>
            <w:vAlign w:val="center"/>
          </w:tcPr>
          <w:p w:rsidR="00E11ACE" w:rsidRDefault="00782B3A"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r w:rsidR="00E11ACE">
              <w:rPr>
                <w:rFonts w:cs="Arial"/>
                <w:szCs w:val="20"/>
              </w:rPr>
              <w:t>029</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sidRPr="00F37E75">
              <w:rPr>
                <w:rFonts w:eastAsia="Times New Roman" w:cs="Arial"/>
                <w:b w:val="0"/>
                <w:szCs w:val="20"/>
                <w:lang w:eastAsia="fr-LU"/>
              </w:rPr>
              <w:t>Funds of funds</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241.</w:t>
            </w:r>
            <w:r w:rsidR="00E11ACE">
              <w:rPr>
                <w:rFonts w:cs="Arial"/>
                <w:szCs w:val="20"/>
              </w:rPr>
              <w:t>798</w:t>
            </w:r>
          </w:p>
        </w:tc>
        <w:tc>
          <w:tcPr>
            <w:tcW w:w="1418" w:type="dxa"/>
            <w:noWrap/>
            <w:vAlign w:val="center"/>
          </w:tcPr>
          <w:p w:rsidR="00E11ACE" w:rsidRDefault="00782B3A"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E11ACE">
              <w:rPr>
                <w:rFonts w:cs="Arial"/>
                <w:szCs w:val="20"/>
              </w:rPr>
              <w:t>154</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F37E75" w:rsidRDefault="00F37E75" w:rsidP="004A6A38">
            <w:pPr>
              <w:spacing w:before="60" w:after="60" w:line="240" w:lineRule="auto"/>
              <w:jc w:val="left"/>
              <w:rPr>
                <w:rFonts w:eastAsia="Times New Roman" w:cs="Arial"/>
                <w:b w:val="0"/>
                <w:szCs w:val="20"/>
                <w:lang w:val="en-US" w:eastAsia="fr-LU"/>
              </w:rPr>
            </w:pPr>
            <w:r w:rsidRPr="00F37E75">
              <w:rPr>
                <w:rFonts w:eastAsia="Times New Roman" w:cs="Arial"/>
                <w:b w:val="0"/>
                <w:szCs w:val="20"/>
                <w:lang w:val="en-US" w:eastAsia="fr-LU"/>
              </w:rPr>
              <w:t>Money market instruments and other short-term securities</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326.</w:t>
            </w:r>
            <w:r w:rsidR="00E11ACE">
              <w:rPr>
                <w:rFonts w:cs="Arial"/>
                <w:szCs w:val="20"/>
              </w:rPr>
              <w:t>800</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243</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sidRPr="00F37E75">
              <w:rPr>
                <w:rFonts w:eastAsia="Times New Roman" w:cs="Arial"/>
                <w:b w:val="0"/>
                <w:szCs w:val="20"/>
                <w:lang w:eastAsia="fr-LU"/>
              </w:rPr>
              <w:t>Cash</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E11ACE">
              <w:rPr>
                <w:rFonts w:cs="Arial"/>
                <w:szCs w:val="20"/>
              </w:rPr>
              <w:t>747</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sidRPr="00F37E75">
              <w:rPr>
                <w:rFonts w:eastAsia="Times New Roman" w:cs="Arial"/>
                <w:b w:val="0"/>
                <w:szCs w:val="20"/>
                <w:lang w:eastAsia="fr-LU"/>
              </w:rPr>
              <w:t>Private equity</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w:t>
            </w:r>
            <w:r w:rsidR="00E11ACE">
              <w:rPr>
                <w:rFonts w:cs="Arial"/>
                <w:szCs w:val="20"/>
              </w:rPr>
              <w:t>304</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192</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sidRPr="00F37E75">
              <w:rPr>
                <w:rFonts w:eastAsia="Times New Roman" w:cs="Arial"/>
                <w:b w:val="0"/>
                <w:szCs w:val="20"/>
                <w:lang w:eastAsia="fr-LU"/>
              </w:rPr>
              <w:t>Venture capital</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E11ACE">
              <w:rPr>
                <w:rFonts w:cs="Arial"/>
                <w:szCs w:val="20"/>
              </w:rPr>
              <w:t>655</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Real estate</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56.</w:t>
            </w:r>
            <w:r w:rsidR="00E11ACE">
              <w:rPr>
                <w:rFonts w:cs="Arial"/>
                <w:szCs w:val="20"/>
              </w:rPr>
              <w:t>132</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337</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E11ACE" w:rsidP="00F37E75">
            <w:pPr>
              <w:spacing w:before="60" w:after="60" w:line="240" w:lineRule="auto"/>
              <w:jc w:val="left"/>
              <w:rPr>
                <w:rFonts w:eastAsia="Times New Roman" w:cs="Arial"/>
                <w:b w:val="0"/>
                <w:szCs w:val="20"/>
                <w:lang w:eastAsia="fr-LU"/>
              </w:rPr>
            </w:pPr>
            <w:r w:rsidRPr="00884D6B">
              <w:rPr>
                <w:rFonts w:eastAsia="Times New Roman" w:cs="Arial"/>
                <w:b w:val="0"/>
                <w:szCs w:val="20"/>
                <w:lang w:eastAsia="fr-LU"/>
              </w:rPr>
              <w:t xml:space="preserve">Futures </w:t>
            </w:r>
            <w:r w:rsidR="00F37E75">
              <w:rPr>
                <w:rFonts w:eastAsia="Times New Roman" w:cs="Arial"/>
                <w:b w:val="0"/>
                <w:szCs w:val="20"/>
                <w:lang w:eastAsia="fr-LU"/>
              </w:rPr>
              <w:t>and/or o</w:t>
            </w:r>
            <w:r w:rsidRPr="00884D6B">
              <w:rPr>
                <w:rFonts w:eastAsia="Times New Roman" w:cs="Arial"/>
                <w:b w:val="0"/>
                <w:szCs w:val="20"/>
                <w:lang w:eastAsia="fr-LU"/>
              </w:rPr>
              <w:t>ptions</w:t>
            </w:r>
          </w:p>
        </w:tc>
        <w:tc>
          <w:tcPr>
            <w:tcW w:w="1701"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F37E75">
              <w:rPr>
                <w:rFonts w:cs="Arial"/>
                <w:szCs w:val="20"/>
              </w:rPr>
              <w:t>2.</w:t>
            </w:r>
            <w:r>
              <w:rPr>
                <w:rFonts w:cs="Arial"/>
                <w:szCs w:val="20"/>
              </w:rPr>
              <w:t>696</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126</w:t>
            </w:r>
          </w:p>
        </w:tc>
      </w:tr>
      <w:tr w:rsidR="00E11ACE" w:rsidRPr="00884D6B" w:rsidTr="000F3F2E">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F37E75"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Other assets</w:t>
            </w:r>
          </w:p>
        </w:tc>
        <w:tc>
          <w:tcPr>
            <w:tcW w:w="1701" w:type="dxa"/>
            <w:noWrap/>
            <w:vAlign w:val="center"/>
          </w:tcPr>
          <w:p w:rsidR="00E11ACE" w:rsidRDefault="00E11ACE" w:rsidP="00F37E75">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w:t>
            </w:r>
            <w:r w:rsidR="00F37E75">
              <w:rPr>
                <w:rFonts w:cs="Arial"/>
                <w:szCs w:val="20"/>
              </w:rPr>
              <w:t>.</w:t>
            </w:r>
            <w:r>
              <w:rPr>
                <w:rFonts w:cs="Arial"/>
                <w:szCs w:val="20"/>
              </w:rPr>
              <w:t>823</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223</w:t>
            </w:r>
          </w:p>
        </w:tc>
      </w:tr>
      <w:tr w:rsidR="00E11ACE" w:rsidRPr="00F006AF" w:rsidTr="00F006AF">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tcPr>
          <w:p w:rsidR="00E11ACE" w:rsidRPr="00F006AF" w:rsidRDefault="00E11ACE"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Public-to-Private</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E11ACE">
              <w:rPr>
                <w:rFonts w:cs="Arial"/>
                <w:szCs w:val="20"/>
              </w:rPr>
              <w:t>094</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r>
      <w:tr w:rsidR="00E11ACE" w:rsidRPr="00F006AF" w:rsidTr="00F006AF">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tcPr>
          <w:p w:rsidR="00E11ACE" w:rsidRPr="00F006AF" w:rsidRDefault="00E11ACE"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Mezzanine</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E11ACE">
              <w:rPr>
                <w:rFonts w:cs="Arial"/>
                <w:szCs w:val="20"/>
              </w:rPr>
              <w:t>507</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w:t>
            </w:r>
          </w:p>
        </w:tc>
      </w:tr>
      <w:tr w:rsidR="00E11ACE" w:rsidRPr="00F006AF" w:rsidTr="00F006AF">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tcPr>
          <w:p w:rsidR="00E11ACE" w:rsidRPr="00F006AF" w:rsidRDefault="00E11ACE"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Venture Capital (SICAR</w:t>
            </w:r>
            <w:r w:rsidR="00F37E75">
              <w:rPr>
                <w:rFonts w:eastAsia="Times New Roman" w:cs="Arial"/>
                <w:b w:val="0"/>
                <w:szCs w:val="20"/>
                <w:lang w:eastAsia="fr-LU"/>
              </w:rPr>
              <w:t>s</w:t>
            </w:r>
            <w:r>
              <w:rPr>
                <w:rFonts w:eastAsia="Times New Roman" w:cs="Arial"/>
                <w:b w:val="0"/>
                <w:szCs w:val="20"/>
                <w:lang w:eastAsia="fr-LU"/>
              </w:rPr>
              <w:t>)</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w:t>
            </w:r>
            <w:r w:rsidR="00E11ACE">
              <w:rPr>
                <w:rFonts w:cs="Arial"/>
                <w:szCs w:val="20"/>
              </w:rPr>
              <w:t>811</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94</w:t>
            </w:r>
          </w:p>
        </w:tc>
      </w:tr>
      <w:tr w:rsidR="00E11ACE" w:rsidRPr="00F006AF" w:rsidTr="00F006AF">
        <w:trPr>
          <w:trHeight w:val="255"/>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tcPr>
          <w:p w:rsidR="00E11ACE" w:rsidRPr="00F006AF" w:rsidRDefault="00E11ACE"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Private Equity (SICAR</w:t>
            </w:r>
            <w:r w:rsidR="00F37E75">
              <w:rPr>
                <w:rFonts w:eastAsia="Times New Roman" w:cs="Arial"/>
                <w:b w:val="0"/>
                <w:szCs w:val="20"/>
                <w:lang w:eastAsia="fr-LU"/>
              </w:rPr>
              <w:t>s</w:t>
            </w:r>
            <w:r>
              <w:rPr>
                <w:rFonts w:eastAsia="Times New Roman" w:cs="Arial"/>
                <w:b w:val="0"/>
                <w:szCs w:val="20"/>
                <w:lang w:eastAsia="fr-LU"/>
              </w:rPr>
              <w:t>)</w:t>
            </w:r>
          </w:p>
        </w:tc>
        <w:tc>
          <w:tcPr>
            <w:tcW w:w="1701" w:type="dxa"/>
            <w:noWrap/>
            <w:vAlign w:val="center"/>
          </w:tcPr>
          <w:p w:rsidR="00E11ACE" w:rsidRDefault="00F37E75"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w:t>
            </w:r>
            <w:r w:rsidR="00E11ACE">
              <w:rPr>
                <w:rFonts w:cs="Arial"/>
                <w:szCs w:val="20"/>
              </w:rPr>
              <w:t>692</w:t>
            </w:r>
          </w:p>
        </w:tc>
        <w:tc>
          <w:tcPr>
            <w:tcW w:w="1418"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292</w:t>
            </w:r>
          </w:p>
        </w:tc>
      </w:tr>
      <w:tr w:rsidR="00E11ACE" w:rsidRPr="00884D6B" w:rsidTr="000F3F2E">
        <w:trPr>
          <w:trHeight w:val="270"/>
        </w:trPr>
        <w:tc>
          <w:tcPr>
            <w:cnfStyle w:val="001000000000" w:firstRow="0" w:lastRow="0" w:firstColumn="1" w:lastColumn="0" w:oddVBand="0" w:evenVBand="0" w:oddHBand="0" w:evenHBand="0" w:firstRowFirstColumn="0" w:firstRowLastColumn="0" w:lastRowFirstColumn="0" w:lastRowLastColumn="0"/>
            <w:tcW w:w="5812" w:type="dxa"/>
            <w:tcBorders>
              <w:left w:val="nil"/>
            </w:tcBorders>
            <w:noWrap/>
            <w:vAlign w:val="center"/>
            <w:hideMark/>
          </w:tcPr>
          <w:p w:rsidR="00E11ACE" w:rsidRPr="00884D6B" w:rsidRDefault="00E11ACE" w:rsidP="00F37E75">
            <w:pPr>
              <w:spacing w:before="60" w:after="60" w:line="240" w:lineRule="auto"/>
              <w:jc w:val="left"/>
              <w:rPr>
                <w:rFonts w:eastAsia="Times New Roman" w:cs="Arial"/>
                <w:szCs w:val="20"/>
                <w:lang w:eastAsia="fr-LU"/>
              </w:rPr>
            </w:pPr>
            <w:r w:rsidRPr="00884D6B">
              <w:rPr>
                <w:rFonts w:eastAsia="Times New Roman" w:cs="Arial"/>
                <w:szCs w:val="20"/>
                <w:lang w:eastAsia="fr-LU"/>
              </w:rPr>
              <w:t>T</w:t>
            </w:r>
            <w:r w:rsidR="00F37E75">
              <w:rPr>
                <w:rFonts w:eastAsia="Times New Roman" w:cs="Arial"/>
                <w:szCs w:val="20"/>
                <w:lang w:eastAsia="fr-LU"/>
              </w:rPr>
              <w:t>OTAL</w:t>
            </w:r>
          </w:p>
        </w:tc>
        <w:tc>
          <w:tcPr>
            <w:tcW w:w="1701" w:type="dxa"/>
            <w:noWrap/>
            <w:vAlign w:val="center"/>
          </w:tcPr>
          <w:p w:rsidR="00E11ACE" w:rsidRDefault="00E11ACE"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w:t>
            </w:r>
            <w:r w:rsidR="00F37E75">
              <w:rPr>
                <w:rFonts w:cs="Arial"/>
                <w:b/>
                <w:bCs/>
                <w:szCs w:val="20"/>
              </w:rPr>
              <w:t>,987.</w:t>
            </w:r>
            <w:r>
              <w:rPr>
                <w:rFonts w:cs="Arial"/>
                <w:b/>
                <w:bCs/>
                <w:szCs w:val="20"/>
              </w:rPr>
              <w:t>328</w:t>
            </w:r>
          </w:p>
        </w:tc>
        <w:tc>
          <w:tcPr>
            <w:tcW w:w="1418" w:type="dxa"/>
            <w:noWrap/>
            <w:vAlign w:val="center"/>
          </w:tcPr>
          <w:p w:rsidR="00E11ACE" w:rsidRDefault="00782B3A"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14,</w:t>
            </w:r>
            <w:r w:rsidR="00E11ACE">
              <w:rPr>
                <w:rFonts w:cs="Arial"/>
                <w:b/>
                <w:bCs/>
                <w:szCs w:val="20"/>
              </w:rPr>
              <w:t>698</w:t>
            </w:r>
          </w:p>
        </w:tc>
      </w:tr>
    </w:tbl>
    <w:p w:rsidR="004A6A38" w:rsidRDefault="004A6A38" w:rsidP="00293604">
      <w:pPr>
        <w:pStyle w:val="Heading3"/>
      </w:pPr>
    </w:p>
    <w:p w:rsidR="004A6A38" w:rsidRDefault="004A6A38">
      <w:pPr>
        <w:spacing w:before="0" w:after="0" w:line="240" w:lineRule="auto"/>
        <w:jc w:val="left"/>
        <w:rPr>
          <w:rFonts w:eastAsiaTheme="majorEastAsia" w:cstheme="majorBidi"/>
          <w:b/>
          <w:color w:val="1F4D78" w:themeColor="accent1" w:themeShade="7F"/>
          <w:sz w:val="22"/>
          <w:szCs w:val="24"/>
        </w:rPr>
      </w:pPr>
      <w:r>
        <w:br w:type="page"/>
      </w:r>
    </w:p>
    <w:p w:rsidR="00293604" w:rsidRPr="006D2554" w:rsidRDefault="006D2554" w:rsidP="00293604">
      <w:pPr>
        <w:pStyle w:val="Heading3"/>
        <w:rPr>
          <w:lang w:val="en-US"/>
        </w:rPr>
      </w:pPr>
      <w:r w:rsidRPr="006D2554">
        <w:rPr>
          <w:lang w:val="en-US"/>
        </w:rPr>
        <w:lastRenderedPageBreak/>
        <w:t>Breakdown of net assets according to investment policy and (the part) of their law</w:t>
      </w:r>
    </w:p>
    <w:tbl>
      <w:tblPr>
        <w:tblStyle w:val="GridTable1Light-Accent1"/>
        <w:tblW w:w="11258" w:type="dxa"/>
        <w:jc w:val="center"/>
        <w:tblLook w:val="04A0" w:firstRow="1" w:lastRow="0" w:firstColumn="1" w:lastColumn="0" w:noHBand="0" w:noVBand="1"/>
      </w:tblPr>
      <w:tblGrid>
        <w:gridCol w:w="4111"/>
        <w:gridCol w:w="1420"/>
        <w:gridCol w:w="1273"/>
        <w:gridCol w:w="1532"/>
        <w:gridCol w:w="1390"/>
        <w:gridCol w:w="1532"/>
      </w:tblGrid>
      <w:tr w:rsidR="003F4625" w:rsidRPr="006D2554" w:rsidTr="006D2554">
        <w:trPr>
          <w:cnfStyle w:val="100000000000" w:firstRow="1" w:lastRow="0" w:firstColumn="0" w:lastColumn="0" w:oddVBand="0" w:evenVBand="0" w:oddHBand="0" w:evenHBand="0" w:firstRowFirstColumn="0" w:firstRowLastColumn="0" w:lastRowFirstColumn="0" w:lastRowLastColumn="0"/>
          <w:trHeight w:val="109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3F4625" w:rsidRPr="006D2554" w:rsidRDefault="006D2554" w:rsidP="00293604">
            <w:pPr>
              <w:spacing w:before="0" w:after="0" w:line="240" w:lineRule="auto"/>
              <w:jc w:val="left"/>
              <w:rPr>
                <w:rFonts w:eastAsia="Times New Roman" w:cs="Arial"/>
                <w:sz w:val="16"/>
                <w:szCs w:val="16"/>
                <w:lang w:eastAsia="fr-LU"/>
              </w:rPr>
            </w:pPr>
            <w:r w:rsidRPr="006D2554">
              <w:rPr>
                <w:rFonts w:eastAsia="Times New Roman" w:cs="Arial"/>
                <w:sz w:val="16"/>
                <w:szCs w:val="16"/>
                <w:lang w:eastAsia="fr-LU"/>
              </w:rPr>
              <w:t>Breakdown by investment policy</w:t>
            </w:r>
          </w:p>
        </w:tc>
        <w:tc>
          <w:tcPr>
            <w:tcW w:w="1420" w:type="dxa"/>
            <w:tcBorders>
              <w:left w:val="nil"/>
              <w:right w:val="nil"/>
            </w:tcBorders>
            <w:vAlign w:val="center"/>
            <w:hideMark/>
          </w:tcPr>
          <w:p w:rsidR="003F4625" w:rsidRPr="006D2554" w:rsidRDefault="006D2554" w:rsidP="006D2554">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NET ASSETS</w:t>
            </w:r>
            <w:r w:rsidR="003F4625" w:rsidRPr="006D2554">
              <w:rPr>
                <w:rFonts w:eastAsia="Times New Roman" w:cs="Arial"/>
                <w:sz w:val="16"/>
                <w:szCs w:val="16"/>
                <w:lang w:eastAsia="fr-LU"/>
              </w:rPr>
              <w:br/>
              <w:t>(</w:t>
            </w:r>
            <w:r w:rsidRPr="006D2554">
              <w:rPr>
                <w:rFonts w:eastAsia="Times New Roman" w:cs="Arial"/>
                <w:sz w:val="16"/>
                <w:szCs w:val="16"/>
                <w:lang w:eastAsia="fr-LU"/>
              </w:rPr>
              <w:t>in bn</w:t>
            </w:r>
            <w:r w:rsidR="003F4625" w:rsidRPr="006D2554">
              <w:rPr>
                <w:rFonts w:eastAsia="Times New Roman" w:cs="Arial"/>
                <w:sz w:val="16"/>
                <w:szCs w:val="16"/>
                <w:lang w:eastAsia="fr-LU"/>
              </w:rPr>
              <w:t xml:space="preserve"> </w:t>
            </w:r>
            <w:r w:rsidRPr="006D2554">
              <w:rPr>
                <w:rFonts w:eastAsia="Times New Roman" w:cs="Arial"/>
                <w:sz w:val="16"/>
                <w:szCs w:val="16"/>
                <w:lang w:eastAsia="fr-LU"/>
              </w:rPr>
              <w:t>EUR</w:t>
            </w:r>
            <w:r w:rsidR="003F4625" w:rsidRPr="006D2554">
              <w:rPr>
                <w:rFonts w:eastAsia="Times New Roman" w:cs="Arial"/>
                <w:sz w:val="16"/>
                <w:szCs w:val="16"/>
                <w:lang w:eastAsia="fr-LU"/>
              </w:rPr>
              <w:t>)</w:t>
            </w:r>
          </w:p>
        </w:tc>
        <w:tc>
          <w:tcPr>
            <w:tcW w:w="1273" w:type="dxa"/>
            <w:tcBorders>
              <w:left w:val="nil"/>
              <w:right w:val="nil"/>
            </w:tcBorders>
            <w:vAlign w:val="center"/>
            <w:hideMark/>
          </w:tcPr>
          <w:p w:rsidR="003F4625" w:rsidRPr="006D2554" w:rsidRDefault="006D2554" w:rsidP="006D2554">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NUMBER OF</w:t>
            </w:r>
            <w:r w:rsidR="003F4625" w:rsidRPr="006D2554">
              <w:rPr>
                <w:rFonts w:eastAsia="Times New Roman" w:cs="Arial"/>
                <w:sz w:val="16"/>
                <w:szCs w:val="16"/>
                <w:lang w:eastAsia="fr-LU"/>
              </w:rPr>
              <w:br/>
            </w:r>
            <w:r w:rsidRPr="006D2554">
              <w:rPr>
                <w:rFonts w:eastAsia="Times New Roman" w:cs="Arial"/>
                <w:sz w:val="16"/>
                <w:szCs w:val="16"/>
                <w:lang w:eastAsia="fr-LU"/>
              </w:rPr>
              <w:t>FUND UNITS</w:t>
            </w:r>
          </w:p>
        </w:tc>
        <w:tc>
          <w:tcPr>
            <w:tcW w:w="1532" w:type="dxa"/>
            <w:tcBorders>
              <w:left w:val="nil"/>
              <w:right w:val="nil"/>
            </w:tcBorders>
            <w:vAlign w:val="center"/>
            <w:hideMark/>
          </w:tcPr>
          <w:p w:rsidR="003F4625" w:rsidRPr="006D2554" w:rsidRDefault="006D2554" w:rsidP="006D2554">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SUBSCRIPTIONS</w:t>
            </w:r>
            <w:r w:rsidRPr="006D2554">
              <w:rPr>
                <w:rFonts w:eastAsia="Times New Roman" w:cs="Arial"/>
                <w:sz w:val="16"/>
                <w:szCs w:val="16"/>
                <w:lang w:eastAsia="fr-LU"/>
              </w:rPr>
              <w:br/>
              <w:t>(I</w:t>
            </w:r>
            <w:r w:rsidR="003F4625" w:rsidRPr="006D2554">
              <w:rPr>
                <w:rFonts w:eastAsia="Times New Roman" w:cs="Arial"/>
                <w:sz w:val="16"/>
                <w:szCs w:val="16"/>
                <w:lang w:eastAsia="fr-LU"/>
              </w:rPr>
              <w:t xml:space="preserve">n </w:t>
            </w:r>
            <w:r w:rsidRPr="006D2554">
              <w:rPr>
                <w:rFonts w:eastAsia="Times New Roman" w:cs="Arial"/>
                <w:sz w:val="16"/>
                <w:szCs w:val="16"/>
                <w:lang w:eastAsia="fr-LU"/>
              </w:rPr>
              <w:t>bn EUR</w:t>
            </w:r>
            <w:r w:rsidR="003F4625" w:rsidRPr="006D2554">
              <w:rPr>
                <w:rFonts w:eastAsia="Times New Roman" w:cs="Arial"/>
                <w:sz w:val="16"/>
                <w:szCs w:val="16"/>
                <w:lang w:eastAsia="fr-LU"/>
              </w:rPr>
              <w:t>)</w:t>
            </w:r>
          </w:p>
        </w:tc>
        <w:tc>
          <w:tcPr>
            <w:tcW w:w="1390" w:type="dxa"/>
            <w:tcBorders>
              <w:left w:val="nil"/>
              <w:right w:val="nil"/>
            </w:tcBorders>
            <w:vAlign w:val="center"/>
            <w:hideMark/>
          </w:tcPr>
          <w:p w:rsidR="003F4625" w:rsidRPr="006D2554" w:rsidRDefault="006D2554" w:rsidP="006D2554">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REDEMPTIONS</w:t>
            </w:r>
            <w:r w:rsidRPr="006D2554">
              <w:rPr>
                <w:rFonts w:eastAsia="Times New Roman" w:cs="Arial"/>
                <w:sz w:val="16"/>
                <w:szCs w:val="16"/>
                <w:lang w:eastAsia="fr-LU"/>
              </w:rPr>
              <w:br/>
              <w:t>(i</w:t>
            </w:r>
            <w:r w:rsidR="003F4625" w:rsidRPr="006D2554">
              <w:rPr>
                <w:rFonts w:eastAsia="Times New Roman" w:cs="Arial"/>
                <w:sz w:val="16"/>
                <w:szCs w:val="16"/>
                <w:lang w:eastAsia="fr-LU"/>
              </w:rPr>
              <w:t xml:space="preserve">n </w:t>
            </w:r>
            <w:r w:rsidRPr="006D2554">
              <w:rPr>
                <w:rFonts w:eastAsia="Times New Roman" w:cs="Arial"/>
                <w:sz w:val="16"/>
                <w:szCs w:val="16"/>
                <w:lang w:eastAsia="fr-LU"/>
              </w:rPr>
              <w:t>bn</w:t>
            </w:r>
            <w:r w:rsidR="003F4625" w:rsidRPr="006D2554">
              <w:rPr>
                <w:rFonts w:eastAsia="Times New Roman" w:cs="Arial"/>
                <w:sz w:val="16"/>
                <w:szCs w:val="16"/>
                <w:lang w:eastAsia="fr-LU"/>
              </w:rPr>
              <w:t xml:space="preserve"> </w:t>
            </w:r>
            <w:r w:rsidRPr="006D2554">
              <w:rPr>
                <w:rFonts w:eastAsia="Times New Roman" w:cs="Arial"/>
                <w:sz w:val="16"/>
                <w:szCs w:val="16"/>
                <w:lang w:eastAsia="fr-LU"/>
              </w:rPr>
              <w:t>EUR)</w:t>
            </w:r>
          </w:p>
        </w:tc>
        <w:tc>
          <w:tcPr>
            <w:tcW w:w="1532" w:type="dxa"/>
            <w:tcBorders>
              <w:left w:val="nil"/>
              <w:right w:val="nil"/>
            </w:tcBorders>
            <w:vAlign w:val="center"/>
            <w:hideMark/>
          </w:tcPr>
          <w:p w:rsidR="003F4625" w:rsidRPr="006D2554" w:rsidRDefault="006D2554" w:rsidP="006D2554">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NET</w:t>
            </w:r>
            <w:r w:rsidR="003F4625" w:rsidRPr="006D2554">
              <w:rPr>
                <w:rFonts w:eastAsia="Times New Roman" w:cs="Arial"/>
                <w:sz w:val="16"/>
                <w:szCs w:val="16"/>
                <w:lang w:eastAsia="fr-LU"/>
              </w:rPr>
              <w:t xml:space="preserve"> </w:t>
            </w:r>
            <w:r w:rsidRPr="006D2554">
              <w:rPr>
                <w:rFonts w:eastAsia="Times New Roman" w:cs="Arial"/>
                <w:sz w:val="16"/>
                <w:szCs w:val="16"/>
                <w:lang w:eastAsia="fr-LU"/>
              </w:rPr>
              <w:t>SUBSCRIPTIONS</w:t>
            </w:r>
            <w:r w:rsidRPr="006D2554">
              <w:rPr>
                <w:rFonts w:eastAsia="Times New Roman" w:cs="Arial"/>
                <w:sz w:val="16"/>
                <w:szCs w:val="16"/>
                <w:lang w:eastAsia="fr-LU"/>
              </w:rPr>
              <w:br/>
              <w:t>(i</w:t>
            </w:r>
            <w:r w:rsidR="003F4625" w:rsidRPr="006D2554">
              <w:rPr>
                <w:rFonts w:eastAsia="Times New Roman" w:cs="Arial"/>
                <w:sz w:val="16"/>
                <w:szCs w:val="16"/>
                <w:lang w:eastAsia="fr-LU"/>
              </w:rPr>
              <w:t xml:space="preserve">n </w:t>
            </w:r>
            <w:r w:rsidRPr="006D2554">
              <w:rPr>
                <w:rFonts w:eastAsia="Times New Roman" w:cs="Arial"/>
                <w:sz w:val="16"/>
                <w:szCs w:val="16"/>
                <w:lang w:eastAsia="fr-LU"/>
              </w:rPr>
              <w:t>bn</w:t>
            </w:r>
            <w:r w:rsidR="003F4625" w:rsidRPr="006D2554">
              <w:rPr>
                <w:rFonts w:eastAsia="Times New Roman" w:cs="Arial"/>
                <w:sz w:val="16"/>
                <w:szCs w:val="16"/>
                <w:lang w:eastAsia="fr-LU"/>
              </w:rPr>
              <w:t xml:space="preserve"> </w:t>
            </w:r>
            <w:r w:rsidRPr="006D2554">
              <w:rPr>
                <w:rFonts w:eastAsia="Times New Roman" w:cs="Arial"/>
                <w:sz w:val="16"/>
                <w:szCs w:val="16"/>
                <w:lang w:eastAsia="fr-LU"/>
              </w:rPr>
              <w:t>EUR)</w:t>
            </w:r>
          </w:p>
        </w:tc>
      </w:tr>
      <w:tr w:rsidR="003F4625"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3F4625" w:rsidRPr="006D2554" w:rsidRDefault="003F4625" w:rsidP="006D2554">
            <w:pPr>
              <w:spacing w:before="0" w:after="0" w:line="240" w:lineRule="auto"/>
              <w:jc w:val="left"/>
              <w:rPr>
                <w:rFonts w:eastAsia="Times New Roman" w:cs="Arial"/>
                <w:sz w:val="16"/>
                <w:szCs w:val="16"/>
                <w:lang w:eastAsia="fr-LU"/>
              </w:rPr>
            </w:pPr>
            <w:r w:rsidRPr="006D2554">
              <w:rPr>
                <w:rFonts w:eastAsia="Times New Roman" w:cs="Arial"/>
                <w:sz w:val="16"/>
                <w:szCs w:val="16"/>
                <w:lang w:eastAsia="fr-LU"/>
              </w:rPr>
              <w:t xml:space="preserve">PART I </w:t>
            </w:r>
          </w:p>
        </w:tc>
        <w:tc>
          <w:tcPr>
            <w:tcW w:w="1420" w:type="dxa"/>
            <w:tcBorders>
              <w:left w:val="nil"/>
              <w:right w:val="nil"/>
            </w:tcBorders>
            <w:noWrap/>
            <w:vAlign w:val="center"/>
            <w:hideMark/>
          </w:tcPr>
          <w:p w:rsidR="003F4625" w:rsidRPr="006D2554" w:rsidRDefault="003F4625" w:rsidP="00293604">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 </w:t>
            </w:r>
          </w:p>
        </w:tc>
        <w:tc>
          <w:tcPr>
            <w:tcW w:w="1273" w:type="dxa"/>
            <w:tcBorders>
              <w:left w:val="nil"/>
              <w:right w:val="nil"/>
            </w:tcBorders>
            <w:noWrap/>
            <w:vAlign w:val="center"/>
            <w:hideMark/>
          </w:tcPr>
          <w:p w:rsidR="003F4625" w:rsidRPr="006D2554" w:rsidRDefault="003F4625" w:rsidP="00293604">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 </w:t>
            </w:r>
          </w:p>
        </w:tc>
        <w:tc>
          <w:tcPr>
            <w:tcW w:w="1532" w:type="dxa"/>
            <w:tcBorders>
              <w:left w:val="nil"/>
              <w:right w:val="nil"/>
            </w:tcBorders>
            <w:noWrap/>
            <w:vAlign w:val="center"/>
            <w:hideMark/>
          </w:tcPr>
          <w:p w:rsidR="003F4625" w:rsidRPr="006D2554" w:rsidRDefault="003F4625" w:rsidP="00293604">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 </w:t>
            </w:r>
          </w:p>
        </w:tc>
        <w:tc>
          <w:tcPr>
            <w:tcW w:w="1390" w:type="dxa"/>
            <w:tcBorders>
              <w:left w:val="nil"/>
              <w:right w:val="nil"/>
            </w:tcBorders>
            <w:noWrap/>
            <w:vAlign w:val="center"/>
            <w:hideMark/>
          </w:tcPr>
          <w:p w:rsidR="003F4625" w:rsidRPr="006D2554" w:rsidRDefault="003F4625" w:rsidP="00293604">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 </w:t>
            </w:r>
          </w:p>
        </w:tc>
        <w:tc>
          <w:tcPr>
            <w:tcW w:w="1532" w:type="dxa"/>
            <w:tcBorders>
              <w:left w:val="nil"/>
              <w:right w:val="nil"/>
            </w:tcBorders>
            <w:noWrap/>
            <w:vAlign w:val="center"/>
            <w:hideMark/>
          </w:tcPr>
          <w:p w:rsidR="003F4625" w:rsidRPr="006D2554" w:rsidRDefault="003F4625" w:rsidP="00293604">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fr-LU"/>
              </w:rPr>
            </w:pPr>
            <w:r w:rsidRPr="006D2554">
              <w:rPr>
                <w:rFonts w:eastAsia="Times New Roman" w:cs="Arial"/>
                <w:sz w:val="16"/>
                <w:szCs w:val="16"/>
                <w:lang w:eastAsia="fr-LU"/>
              </w:rPr>
              <w:t> </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Fixed-income transferable securities</w:t>
            </w:r>
          </w:p>
        </w:tc>
        <w:tc>
          <w:tcPr>
            <w:tcW w:w="1420" w:type="dxa"/>
            <w:tcBorders>
              <w:left w:val="nil"/>
              <w:right w:val="nil"/>
            </w:tcBorders>
            <w:noWrap/>
            <w:vAlign w:val="center"/>
          </w:tcPr>
          <w:p w:rsidR="004A6A38" w:rsidRPr="006D2554" w:rsidRDefault="00592B16" w:rsidP="004A6A3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fr-LU"/>
              </w:rPr>
            </w:pPr>
            <w:r>
              <w:rPr>
                <w:rFonts w:cs="Arial"/>
                <w:sz w:val="16"/>
                <w:szCs w:val="16"/>
              </w:rPr>
              <w:t>1,096.</w:t>
            </w:r>
            <w:r w:rsidR="004A6A38" w:rsidRPr="006D2554">
              <w:rPr>
                <w:rFonts w:cs="Arial"/>
                <w:sz w:val="16"/>
                <w:szCs w:val="16"/>
              </w:rPr>
              <w:t>378</w:t>
            </w:r>
          </w:p>
        </w:tc>
        <w:tc>
          <w:tcPr>
            <w:tcW w:w="1273"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w:t>
            </w:r>
            <w:r w:rsidR="004A6A38" w:rsidRPr="006D2554">
              <w:rPr>
                <w:rFonts w:cs="Arial"/>
                <w:sz w:val="16"/>
                <w:szCs w:val="16"/>
              </w:rPr>
              <w:t>511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42.</w:t>
            </w:r>
            <w:r w:rsidR="004A6A38" w:rsidRPr="006D2554">
              <w:rPr>
                <w:rFonts w:cs="Arial"/>
                <w:sz w:val="16"/>
                <w:szCs w:val="16"/>
              </w:rPr>
              <w:t>828</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33.</w:t>
            </w:r>
            <w:r w:rsidR="004A6A38" w:rsidRPr="006D2554">
              <w:rPr>
                <w:rFonts w:cs="Arial"/>
                <w:sz w:val="16"/>
                <w:szCs w:val="16"/>
              </w:rPr>
              <w:t>028</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9.</w:t>
            </w:r>
            <w:r w:rsidR="004A6A38" w:rsidRPr="006D2554">
              <w:rPr>
                <w:rFonts w:cs="Arial"/>
                <w:sz w:val="16"/>
                <w:szCs w:val="16"/>
              </w:rPr>
              <w:t>800</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Variable-yield transferable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1,089.</w:t>
            </w:r>
            <w:r w:rsidR="004A6A38" w:rsidRPr="006D2554">
              <w:rPr>
                <w:rFonts w:cs="Arial"/>
                <w:sz w:val="16"/>
                <w:szCs w:val="16"/>
              </w:rPr>
              <w:t>980</w:t>
            </w:r>
          </w:p>
        </w:tc>
        <w:tc>
          <w:tcPr>
            <w:tcW w:w="1273"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w:t>
            </w:r>
            <w:r w:rsidR="004A6A38" w:rsidRPr="006D2554">
              <w:rPr>
                <w:rFonts w:cs="Arial"/>
                <w:sz w:val="16"/>
                <w:szCs w:val="16"/>
              </w:rPr>
              <w:t>407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32.</w:t>
            </w:r>
            <w:r w:rsidR="004A6A38" w:rsidRPr="006D2554">
              <w:rPr>
                <w:rFonts w:cs="Arial"/>
                <w:sz w:val="16"/>
                <w:szCs w:val="16"/>
              </w:rPr>
              <w:t>612</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31.</w:t>
            </w:r>
            <w:r w:rsidR="004A6A38" w:rsidRPr="006D2554">
              <w:rPr>
                <w:rFonts w:cs="Arial"/>
                <w:sz w:val="16"/>
                <w:szCs w:val="16"/>
              </w:rPr>
              <w:t>284</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328</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Mixed transferable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684.</w:t>
            </w:r>
            <w:r w:rsidR="004A6A38" w:rsidRPr="006D2554">
              <w:rPr>
                <w:rFonts w:cs="Arial"/>
                <w:sz w:val="16"/>
                <w:szCs w:val="16"/>
              </w:rPr>
              <w:t>833</w:t>
            </w:r>
          </w:p>
        </w:tc>
        <w:tc>
          <w:tcPr>
            <w:tcW w:w="1273"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w:t>
            </w:r>
            <w:r w:rsidR="004A6A38" w:rsidRPr="006D2554">
              <w:rPr>
                <w:rFonts w:cs="Arial"/>
                <w:sz w:val="16"/>
                <w:szCs w:val="16"/>
              </w:rPr>
              <w:t>809</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24.</w:t>
            </w:r>
            <w:r w:rsidR="004A6A38" w:rsidRPr="006D2554">
              <w:rPr>
                <w:rFonts w:cs="Arial"/>
                <w:sz w:val="16"/>
                <w:szCs w:val="16"/>
              </w:rPr>
              <w:t>513</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16.</w:t>
            </w:r>
            <w:r w:rsidR="004A6A38" w:rsidRPr="006D2554">
              <w:rPr>
                <w:rFonts w:cs="Arial"/>
                <w:sz w:val="16"/>
                <w:szCs w:val="16"/>
              </w:rPr>
              <w:t>857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7.</w:t>
            </w:r>
            <w:r w:rsidR="004A6A38" w:rsidRPr="006D2554">
              <w:rPr>
                <w:rFonts w:cs="Arial"/>
                <w:sz w:val="16"/>
                <w:szCs w:val="16"/>
              </w:rPr>
              <w:t>656</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Funds of funds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139.</w:t>
            </w:r>
            <w:r w:rsidR="004A6A38" w:rsidRPr="006D2554">
              <w:rPr>
                <w:rFonts w:cs="Arial"/>
                <w:sz w:val="16"/>
                <w:szCs w:val="16"/>
              </w:rPr>
              <w:t>430</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993</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w:t>
            </w:r>
            <w:r w:rsidR="004A6A38" w:rsidRPr="006D2554">
              <w:rPr>
                <w:rFonts w:cs="Arial"/>
                <w:sz w:val="16"/>
                <w:szCs w:val="16"/>
              </w:rPr>
              <w:t>605</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815</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790</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val="en-US" w:eastAsia="fr-LU"/>
              </w:rPr>
            </w:pPr>
            <w:r w:rsidRPr="006D2554">
              <w:rPr>
                <w:rFonts w:eastAsia="Times New Roman" w:cs="Arial"/>
                <w:b w:val="0"/>
                <w:sz w:val="16"/>
                <w:szCs w:val="16"/>
                <w:lang w:val="en-US" w:eastAsia="fr-LU"/>
              </w:rPr>
              <w:t>Money market instruments and other short-term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306.</w:t>
            </w:r>
            <w:r w:rsidR="004A6A38" w:rsidRPr="006D2554">
              <w:rPr>
                <w:rFonts w:cs="Arial"/>
                <w:sz w:val="16"/>
                <w:szCs w:val="16"/>
              </w:rPr>
              <w:t>775</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185</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116.</w:t>
            </w:r>
            <w:r w:rsidR="004A6A38" w:rsidRPr="006D2554">
              <w:rPr>
                <w:rFonts w:cs="Arial"/>
                <w:sz w:val="16"/>
                <w:szCs w:val="16"/>
              </w:rPr>
              <w:t>967</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107.</w:t>
            </w:r>
            <w:r w:rsidR="004A6A38" w:rsidRPr="006D2554">
              <w:rPr>
                <w:rFonts w:cs="Arial"/>
                <w:sz w:val="16"/>
                <w:szCs w:val="16"/>
              </w:rPr>
              <w:t>819</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9.</w:t>
            </w:r>
            <w:r w:rsidR="004A6A38" w:rsidRPr="006D2554">
              <w:rPr>
                <w:rFonts w:cs="Arial"/>
                <w:sz w:val="16"/>
                <w:szCs w:val="16"/>
              </w:rPr>
              <w:t>148</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Cash</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181</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037</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024</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013</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4A6A38" w:rsidP="006D2554">
            <w:pPr>
              <w:spacing w:before="0" w:after="0" w:line="240" w:lineRule="auto"/>
              <w:jc w:val="left"/>
              <w:rPr>
                <w:rFonts w:eastAsia="Times New Roman" w:cs="Arial"/>
                <w:b w:val="0"/>
                <w:sz w:val="16"/>
                <w:szCs w:val="16"/>
                <w:lang w:eastAsia="fr-LU"/>
              </w:rPr>
            </w:pPr>
            <w:r w:rsidRPr="006D2554">
              <w:rPr>
                <w:rFonts w:eastAsia="Times New Roman" w:cs="Arial"/>
                <w:b w:val="0"/>
                <w:sz w:val="16"/>
                <w:szCs w:val="16"/>
                <w:lang w:eastAsia="fr-LU"/>
              </w:rPr>
              <w:t xml:space="preserve">Futures </w:t>
            </w:r>
            <w:r w:rsidR="006D2554">
              <w:rPr>
                <w:rFonts w:eastAsia="Times New Roman" w:cs="Arial"/>
                <w:b w:val="0"/>
                <w:sz w:val="16"/>
                <w:szCs w:val="16"/>
                <w:lang w:eastAsia="fr-LU"/>
              </w:rPr>
              <w:t>and/or</w:t>
            </w:r>
            <w:r w:rsidRPr="006D2554">
              <w:rPr>
                <w:rFonts w:eastAsia="Times New Roman" w:cs="Arial"/>
                <w:b w:val="0"/>
                <w:sz w:val="16"/>
                <w:szCs w:val="16"/>
                <w:lang w:eastAsia="fr-LU"/>
              </w:rPr>
              <w:t xml:space="preserve"> </w:t>
            </w:r>
            <w:r w:rsidR="006D2554">
              <w:rPr>
                <w:rFonts w:eastAsia="Times New Roman" w:cs="Arial"/>
                <w:b w:val="0"/>
                <w:sz w:val="16"/>
                <w:szCs w:val="16"/>
                <w:lang w:eastAsia="fr-LU"/>
              </w:rPr>
              <w:t>o</w:t>
            </w:r>
            <w:r w:rsidRPr="006D2554">
              <w:rPr>
                <w:rFonts w:eastAsia="Times New Roman" w:cs="Arial"/>
                <w:b w:val="0"/>
                <w:sz w:val="16"/>
                <w:szCs w:val="16"/>
                <w:lang w:eastAsia="fr-LU"/>
              </w:rPr>
              <w:t>ptions</w:t>
            </w:r>
          </w:p>
        </w:tc>
        <w:tc>
          <w:tcPr>
            <w:tcW w:w="1420"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6</w:t>
            </w:r>
            <w:r w:rsidR="00592B16">
              <w:rPr>
                <w:rFonts w:cs="Arial"/>
                <w:sz w:val="16"/>
                <w:szCs w:val="16"/>
              </w:rPr>
              <w:t>.</w:t>
            </w:r>
            <w:r w:rsidRPr="006D2554">
              <w:rPr>
                <w:rFonts w:cs="Arial"/>
                <w:sz w:val="16"/>
                <w:szCs w:val="16"/>
              </w:rPr>
              <w:t>790</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57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203</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108</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095</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Other assets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w:t>
            </w:r>
            <w:r w:rsidR="004A6A38" w:rsidRPr="006D2554">
              <w:rPr>
                <w:rFonts w:cs="Arial"/>
                <w:sz w:val="16"/>
                <w:szCs w:val="16"/>
              </w:rPr>
              <w:t>498</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028</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025</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003</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4A6A38" w:rsidP="006D2554">
            <w:pPr>
              <w:spacing w:before="0" w:after="0" w:line="240" w:lineRule="auto"/>
              <w:jc w:val="right"/>
              <w:rPr>
                <w:rFonts w:eastAsia="Times New Roman" w:cs="Arial"/>
                <w:sz w:val="16"/>
                <w:szCs w:val="16"/>
                <w:lang w:eastAsia="fr-LU"/>
              </w:rPr>
            </w:pPr>
            <w:r w:rsidRPr="006D2554">
              <w:rPr>
                <w:rFonts w:eastAsia="Times New Roman" w:cs="Arial"/>
                <w:sz w:val="16"/>
                <w:szCs w:val="16"/>
                <w:lang w:eastAsia="fr-LU"/>
              </w:rPr>
              <w:t>TOTAL PART I:</w:t>
            </w:r>
          </w:p>
        </w:tc>
        <w:tc>
          <w:tcPr>
            <w:tcW w:w="1420"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3</w:t>
            </w:r>
            <w:r w:rsidR="00592B16">
              <w:rPr>
                <w:rFonts w:cs="Arial"/>
                <w:b/>
                <w:bCs/>
                <w:sz w:val="16"/>
                <w:szCs w:val="16"/>
              </w:rPr>
              <w:t>,328.</w:t>
            </w:r>
            <w:r w:rsidRPr="006D2554">
              <w:rPr>
                <w:rFonts w:cs="Arial"/>
                <w:b/>
                <w:bCs/>
                <w:sz w:val="16"/>
                <w:szCs w:val="16"/>
              </w:rPr>
              <w:t>865</w:t>
            </w:r>
          </w:p>
        </w:tc>
        <w:tc>
          <w:tcPr>
            <w:tcW w:w="1273"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9,</w:t>
            </w:r>
            <w:r w:rsidR="004A6A38" w:rsidRPr="006D2554">
              <w:rPr>
                <w:rFonts w:cs="Arial"/>
                <w:b/>
                <w:bCs/>
                <w:sz w:val="16"/>
                <w:szCs w:val="16"/>
              </w:rPr>
              <w:t>982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219.</w:t>
            </w:r>
            <w:r w:rsidR="004A6A38" w:rsidRPr="006D2554">
              <w:rPr>
                <w:rFonts w:cs="Arial"/>
                <w:b/>
                <w:bCs/>
                <w:sz w:val="16"/>
                <w:szCs w:val="16"/>
              </w:rPr>
              <w:t>793</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190.</w:t>
            </w:r>
            <w:r w:rsidR="004A6A38" w:rsidRPr="006D2554">
              <w:rPr>
                <w:rFonts w:cs="Arial"/>
                <w:b/>
                <w:bCs/>
                <w:sz w:val="16"/>
                <w:szCs w:val="16"/>
              </w:rPr>
              <w:t>960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28.</w:t>
            </w:r>
            <w:r w:rsidR="004A6A38" w:rsidRPr="006D2554">
              <w:rPr>
                <w:rFonts w:cs="Arial"/>
                <w:b/>
                <w:bCs/>
                <w:sz w:val="16"/>
                <w:szCs w:val="16"/>
              </w:rPr>
              <w:t>833</w:t>
            </w:r>
          </w:p>
        </w:tc>
      </w:tr>
      <w:tr w:rsidR="00293604"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293604" w:rsidRPr="006D2554" w:rsidRDefault="00293604" w:rsidP="006D2554">
            <w:pPr>
              <w:spacing w:before="0" w:after="0" w:line="240" w:lineRule="auto"/>
              <w:jc w:val="left"/>
              <w:rPr>
                <w:rFonts w:eastAsia="Times New Roman" w:cs="Arial"/>
                <w:sz w:val="16"/>
                <w:szCs w:val="16"/>
                <w:lang w:eastAsia="fr-LU"/>
              </w:rPr>
            </w:pPr>
            <w:r w:rsidRPr="006D2554">
              <w:rPr>
                <w:rFonts w:eastAsia="Times New Roman" w:cs="Arial"/>
                <w:sz w:val="16"/>
                <w:szCs w:val="16"/>
                <w:lang w:eastAsia="fr-LU"/>
              </w:rPr>
              <w:t>PART II</w:t>
            </w:r>
          </w:p>
        </w:tc>
        <w:tc>
          <w:tcPr>
            <w:tcW w:w="1420"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273"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532"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390"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532"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Fixed-income transferable securities</w:t>
            </w:r>
          </w:p>
        </w:tc>
        <w:tc>
          <w:tcPr>
            <w:tcW w:w="1420" w:type="dxa"/>
            <w:tcBorders>
              <w:left w:val="nil"/>
              <w:right w:val="nil"/>
            </w:tcBorders>
            <w:noWrap/>
            <w:vAlign w:val="center"/>
          </w:tcPr>
          <w:p w:rsidR="004A6A38" w:rsidRPr="006D2554" w:rsidRDefault="00592B16" w:rsidP="004A6A3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fr-LU"/>
              </w:rPr>
            </w:pPr>
            <w:r>
              <w:rPr>
                <w:rFonts w:cs="Arial"/>
                <w:sz w:val="16"/>
                <w:szCs w:val="16"/>
              </w:rPr>
              <w:t>25.</w:t>
            </w:r>
            <w:r w:rsidR="004A6A38" w:rsidRPr="006D2554">
              <w:rPr>
                <w:rFonts w:cs="Arial"/>
                <w:sz w:val="16"/>
                <w:szCs w:val="16"/>
              </w:rPr>
              <w:t>793</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115</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355</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511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156</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Variable-yield transferable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14.</w:t>
            </w:r>
            <w:r w:rsidR="004A6A38" w:rsidRPr="006D2554">
              <w:rPr>
                <w:rFonts w:cs="Arial"/>
                <w:sz w:val="16"/>
                <w:szCs w:val="16"/>
              </w:rPr>
              <w:t>411</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67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192</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177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015</w:t>
            </w:r>
          </w:p>
        </w:tc>
      </w:tr>
      <w:tr w:rsidR="004A6A38" w:rsidRPr="006D2554" w:rsidTr="006D2554">
        <w:trPr>
          <w:trHeight w:val="28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Mixed transferable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56.</w:t>
            </w:r>
            <w:r w:rsidR="004A6A38" w:rsidRPr="006D2554">
              <w:rPr>
                <w:rFonts w:cs="Arial"/>
                <w:sz w:val="16"/>
                <w:szCs w:val="16"/>
              </w:rPr>
              <w:t>922</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228</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102</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w:t>
            </w:r>
            <w:r w:rsidR="004A6A38" w:rsidRPr="006D2554">
              <w:rPr>
                <w:rFonts w:cs="Arial"/>
                <w:sz w:val="16"/>
                <w:szCs w:val="16"/>
              </w:rPr>
              <w:t>242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140</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Funds of funds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30.</w:t>
            </w:r>
            <w:r w:rsidR="004A6A38" w:rsidRPr="006D2554">
              <w:rPr>
                <w:rFonts w:cs="Arial"/>
                <w:sz w:val="16"/>
                <w:szCs w:val="16"/>
              </w:rPr>
              <w:t>596</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299</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224</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270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046</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val="en-US" w:eastAsia="fr-LU"/>
              </w:rPr>
            </w:pPr>
            <w:r w:rsidRPr="006D2554">
              <w:rPr>
                <w:rFonts w:eastAsia="Times New Roman" w:cs="Arial"/>
                <w:b w:val="0"/>
                <w:sz w:val="16"/>
                <w:szCs w:val="16"/>
                <w:lang w:val="en-US" w:eastAsia="fr-LU"/>
              </w:rPr>
              <w:t>Money market instruments and other short</w:t>
            </w:r>
            <w:r w:rsidR="00592B16">
              <w:rPr>
                <w:rFonts w:eastAsia="Times New Roman" w:cs="Arial"/>
                <w:b w:val="0"/>
                <w:sz w:val="16"/>
                <w:szCs w:val="16"/>
                <w:lang w:val="en-US" w:eastAsia="fr-LU"/>
              </w:rPr>
              <w:t>-term</w:t>
            </w:r>
            <w:r>
              <w:rPr>
                <w:rFonts w:eastAsia="Times New Roman" w:cs="Arial"/>
                <w:b w:val="0"/>
                <w:sz w:val="16"/>
                <w:szCs w:val="16"/>
                <w:lang w:val="en-US" w:eastAsia="fr-LU"/>
              </w:rPr>
              <w:t xml:space="preserve">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15.</w:t>
            </w:r>
            <w:r w:rsidR="004A6A38" w:rsidRPr="006D2554">
              <w:rPr>
                <w:rFonts w:cs="Arial"/>
                <w:sz w:val="16"/>
                <w:szCs w:val="16"/>
              </w:rPr>
              <w:t>765</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47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930</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740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190</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Cash</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550</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8</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016</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010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006</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Private equity</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4.</w:t>
            </w:r>
            <w:r w:rsidR="004A6A38" w:rsidRPr="006D2554">
              <w:rPr>
                <w:rFonts w:cs="Arial"/>
                <w:sz w:val="16"/>
                <w:szCs w:val="16"/>
              </w:rPr>
              <w:t>576</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15</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112</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037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075</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Venture capital</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003</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Real estate</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299</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001</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004</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003</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4A6A38" w:rsidP="006D2554">
            <w:pPr>
              <w:spacing w:before="0" w:after="0" w:line="240" w:lineRule="auto"/>
              <w:jc w:val="left"/>
              <w:rPr>
                <w:rFonts w:eastAsia="Times New Roman" w:cs="Arial"/>
                <w:b w:val="0"/>
                <w:sz w:val="16"/>
                <w:szCs w:val="16"/>
                <w:lang w:eastAsia="fr-LU"/>
              </w:rPr>
            </w:pPr>
            <w:r w:rsidRPr="006D2554">
              <w:rPr>
                <w:rFonts w:eastAsia="Times New Roman" w:cs="Arial"/>
                <w:b w:val="0"/>
                <w:sz w:val="16"/>
                <w:szCs w:val="16"/>
                <w:lang w:eastAsia="fr-LU"/>
              </w:rPr>
              <w:t xml:space="preserve">Futures </w:t>
            </w:r>
            <w:r w:rsidR="006D2554">
              <w:rPr>
                <w:rFonts w:eastAsia="Times New Roman" w:cs="Arial"/>
                <w:b w:val="0"/>
                <w:sz w:val="16"/>
                <w:szCs w:val="16"/>
                <w:lang w:eastAsia="fr-LU"/>
              </w:rPr>
              <w:t>and/or</w:t>
            </w:r>
            <w:r w:rsidRPr="006D2554">
              <w:rPr>
                <w:rFonts w:eastAsia="Times New Roman" w:cs="Arial"/>
                <w:b w:val="0"/>
                <w:sz w:val="16"/>
                <w:szCs w:val="16"/>
                <w:lang w:eastAsia="fr-LU"/>
              </w:rPr>
              <w:t xml:space="preserve"> </w:t>
            </w:r>
            <w:r w:rsidR="006D2554">
              <w:rPr>
                <w:rFonts w:eastAsia="Times New Roman" w:cs="Arial"/>
                <w:b w:val="0"/>
                <w:sz w:val="16"/>
                <w:szCs w:val="16"/>
                <w:lang w:eastAsia="fr-LU"/>
              </w:rPr>
              <w:t>o</w:t>
            </w:r>
            <w:r w:rsidRPr="006D2554">
              <w:rPr>
                <w:rFonts w:eastAsia="Times New Roman" w:cs="Arial"/>
                <w:b w:val="0"/>
                <w:sz w:val="16"/>
                <w:szCs w:val="16"/>
                <w:lang w:eastAsia="fr-LU"/>
              </w:rPr>
              <w:t>ptions</w:t>
            </w:r>
          </w:p>
        </w:tc>
        <w:tc>
          <w:tcPr>
            <w:tcW w:w="1420"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w:t>
            </w:r>
            <w:r w:rsidR="00592B16">
              <w:rPr>
                <w:rFonts w:cs="Arial"/>
                <w:sz w:val="16"/>
                <w:szCs w:val="16"/>
              </w:rPr>
              <w:t>.</w:t>
            </w:r>
            <w:r w:rsidRPr="006D2554">
              <w:rPr>
                <w:rFonts w:cs="Arial"/>
                <w:sz w:val="16"/>
                <w:szCs w:val="16"/>
              </w:rPr>
              <w:t>939</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29</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032</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052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020</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6D2554"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Other assets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w:t>
            </w:r>
            <w:r w:rsidR="004A6A38" w:rsidRPr="006D2554">
              <w:rPr>
                <w:rFonts w:cs="Arial"/>
                <w:sz w:val="16"/>
                <w:szCs w:val="16"/>
              </w:rPr>
              <w:t>594</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13</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061</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052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009</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4A6A38" w:rsidP="00592B16">
            <w:pPr>
              <w:spacing w:before="0" w:after="0" w:line="240" w:lineRule="auto"/>
              <w:jc w:val="right"/>
              <w:rPr>
                <w:rFonts w:eastAsia="Times New Roman" w:cs="Arial"/>
                <w:sz w:val="16"/>
                <w:szCs w:val="16"/>
                <w:lang w:eastAsia="fr-LU"/>
              </w:rPr>
            </w:pPr>
            <w:r w:rsidRPr="006D2554">
              <w:rPr>
                <w:rFonts w:eastAsia="Times New Roman" w:cs="Arial"/>
                <w:sz w:val="16"/>
                <w:szCs w:val="16"/>
                <w:lang w:eastAsia="fr-LU"/>
              </w:rPr>
              <w:t>TOTAL PART II:</w:t>
            </w:r>
          </w:p>
        </w:tc>
        <w:tc>
          <w:tcPr>
            <w:tcW w:w="1420"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1</w:t>
            </w:r>
            <w:r w:rsidR="00592B16">
              <w:rPr>
                <w:rFonts w:cs="Arial"/>
                <w:b/>
                <w:bCs/>
                <w:sz w:val="16"/>
                <w:szCs w:val="16"/>
              </w:rPr>
              <w:t>56.</w:t>
            </w:r>
            <w:r w:rsidRPr="006D2554">
              <w:rPr>
                <w:rFonts w:cs="Arial"/>
                <w:b/>
                <w:bCs/>
                <w:sz w:val="16"/>
                <w:szCs w:val="16"/>
              </w:rPr>
              <w:t>448</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843</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3.</w:t>
            </w:r>
            <w:r w:rsidR="004A6A38" w:rsidRPr="006D2554">
              <w:rPr>
                <w:rFonts w:cs="Arial"/>
                <w:b/>
                <w:bCs/>
                <w:sz w:val="16"/>
                <w:szCs w:val="16"/>
              </w:rPr>
              <w:t>025</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5.</w:t>
            </w:r>
            <w:r w:rsidR="004A6A38" w:rsidRPr="006D2554">
              <w:rPr>
                <w:rFonts w:cs="Arial"/>
                <w:b/>
                <w:bCs/>
                <w:sz w:val="16"/>
                <w:szCs w:val="16"/>
              </w:rPr>
              <w:t>095</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-2.</w:t>
            </w:r>
            <w:r w:rsidR="004A6A38" w:rsidRPr="006D2554">
              <w:rPr>
                <w:rFonts w:cs="Arial"/>
                <w:b/>
                <w:bCs/>
                <w:sz w:val="16"/>
                <w:szCs w:val="16"/>
              </w:rPr>
              <w:t>070</w:t>
            </w:r>
          </w:p>
        </w:tc>
      </w:tr>
      <w:tr w:rsidR="00293604"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293604" w:rsidRPr="006D2554" w:rsidRDefault="00592B16" w:rsidP="00592B16">
            <w:pPr>
              <w:spacing w:before="0" w:after="0" w:line="240" w:lineRule="auto"/>
              <w:jc w:val="left"/>
              <w:rPr>
                <w:rFonts w:eastAsia="Times New Roman" w:cs="Arial"/>
                <w:sz w:val="16"/>
                <w:szCs w:val="16"/>
                <w:lang w:eastAsia="fr-LU"/>
              </w:rPr>
            </w:pPr>
            <w:r>
              <w:rPr>
                <w:rFonts w:eastAsia="Times New Roman" w:cs="Arial"/>
                <w:sz w:val="16"/>
                <w:szCs w:val="16"/>
                <w:lang w:eastAsia="fr-LU"/>
              </w:rPr>
              <w:t>SIFs</w:t>
            </w:r>
          </w:p>
        </w:tc>
        <w:tc>
          <w:tcPr>
            <w:tcW w:w="1420" w:type="dxa"/>
            <w:tcBorders>
              <w:left w:val="nil"/>
              <w:right w:val="nil"/>
            </w:tcBorders>
            <w:noWrap/>
            <w:vAlign w:val="bottom"/>
          </w:tcPr>
          <w:p w:rsidR="00293604" w:rsidRPr="006D2554" w:rsidRDefault="00293604" w:rsidP="004A6A38">
            <w:pPr>
              <w:spacing w:before="0" w:after="0"/>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273" w:type="dxa"/>
            <w:tcBorders>
              <w:left w:val="nil"/>
              <w:right w:val="nil"/>
            </w:tcBorders>
            <w:noWrap/>
            <w:vAlign w:val="bottom"/>
          </w:tcPr>
          <w:p w:rsidR="00293604" w:rsidRPr="006D2554" w:rsidRDefault="00293604" w:rsidP="004A6A38">
            <w:pPr>
              <w:spacing w:before="0" w:after="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532"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390"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532"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Fixed-income transferable securities</w:t>
            </w:r>
          </w:p>
        </w:tc>
        <w:tc>
          <w:tcPr>
            <w:tcW w:w="1420" w:type="dxa"/>
            <w:tcBorders>
              <w:left w:val="nil"/>
              <w:right w:val="nil"/>
            </w:tcBorders>
            <w:noWrap/>
            <w:vAlign w:val="center"/>
          </w:tcPr>
          <w:p w:rsidR="004A6A38" w:rsidRPr="006D2554" w:rsidRDefault="00592B16" w:rsidP="004A6A3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fr-LU"/>
              </w:rPr>
            </w:pPr>
            <w:r>
              <w:rPr>
                <w:rFonts w:cs="Arial"/>
                <w:sz w:val="16"/>
                <w:szCs w:val="16"/>
              </w:rPr>
              <w:t>86.</w:t>
            </w:r>
            <w:r w:rsidR="004A6A38" w:rsidRPr="006D2554">
              <w:rPr>
                <w:rFonts w:cs="Arial"/>
                <w:sz w:val="16"/>
                <w:szCs w:val="16"/>
              </w:rPr>
              <w:t>207</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520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329</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791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538</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Variable-yield transferable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47.</w:t>
            </w:r>
            <w:r w:rsidR="004A6A38" w:rsidRPr="006D2554">
              <w:rPr>
                <w:rFonts w:cs="Arial"/>
                <w:sz w:val="16"/>
                <w:szCs w:val="16"/>
              </w:rPr>
              <w:t>594</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323</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394</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347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047</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Mixed transferable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121.</w:t>
            </w:r>
            <w:r w:rsidR="004A6A38" w:rsidRPr="006D2554">
              <w:rPr>
                <w:rFonts w:cs="Arial"/>
                <w:sz w:val="16"/>
                <w:szCs w:val="16"/>
              </w:rPr>
              <w:t>151</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992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4.</w:t>
            </w:r>
            <w:r w:rsidR="004A6A38" w:rsidRPr="006D2554">
              <w:rPr>
                <w:rFonts w:cs="Arial"/>
                <w:sz w:val="16"/>
                <w:szCs w:val="16"/>
              </w:rPr>
              <w:t>044</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140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w:t>
            </w:r>
            <w:r w:rsidR="004A6A38" w:rsidRPr="006D2554">
              <w:rPr>
                <w:rFonts w:cs="Arial"/>
                <w:sz w:val="16"/>
                <w:szCs w:val="16"/>
              </w:rPr>
              <w:t>904</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Funds of funds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71.</w:t>
            </w:r>
            <w:r w:rsidR="004A6A38" w:rsidRPr="006D2554">
              <w:rPr>
                <w:rFonts w:cs="Arial"/>
                <w:sz w:val="16"/>
                <w:szCs w:val="16"/>
              </w:rPr>
              <w:t>772</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862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026</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672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354</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592B16" w:rsidRDefault="00592B16" w:rsidP="004A6A38">
            <w:pPr>
              <w:spacing w:before="0" w:after="0" w:line="240" w:lineRule="auto"/>
              <w:jc w:val="left"/>
              <w:rPr>
                <w:rFonts w:eastAsia="Times New Roman" w:cs="Arial"/>
                <w:b w:val="0"/>
                <w:sz w:val="16"/>
                <w:szCs w:val="16"/>
                <w:lang w:val="en-US" w:eastAsia="fr-LU"/>
              </w:rPr>
            </w:pPr>
            <w:r w:rsidRPr="00592B16">
              <w:rPr>
                <w:rFonts w:eastAsia="Times New Roman" w:cs="Arial"/>
                <w:b w:val="0"/>
                <w:sz w:val="16"/>
                <w:szCs w:val="16"/>
                <w:lang w:val="en-US" w:eastAsia="fr-LU"/>
              </w:rPr>
              <w:t>Money market instruments and other short-term securities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4.</w:t>
            </w:r>
            <w:r w:rsidR="004A6A38" w:rsidRPr="006D2554">
              <w:rPr>
                <w:rFonts w:cs="Arial"/>
                <w:sz w:val="16"/>
                <w:szCs w:val="16"/>
              </w:rPr>
              <w:t>260</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569</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206</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363</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Cash</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016</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Private equity</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24.</w:t>
            </w:r>
            <w:r w:rsidR="004A6A38" w:rsidRPr="006D2554">
              <w:rPr>
                <w:rFonts w:cs="Arial"/>
                <w:sz w:val="16"/>
                <w:szCs w:val="16"/>
              </w:rPr>
              <w:t>728</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177</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628</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096</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532</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Venture capital</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652</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28</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013</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011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002</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Real estate</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54.</w:t>
            </w:r>
            <w:r w:rsidR="004A6A38" w:rsidRPr="006D2554">
              <w:rPr>
                <w:rFonts w:cs="Arial"/>
                <w:sz w:val="16"/>
                <w:szCs w:val="16"/>
              </w:rPr>
              <w:t>833</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316</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316</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570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746</w:t>
            </w:r>
          </w:p>
        </w:tc>
      </w:tr>
      <w:tr w:rsidR="004A6A38" w:rsidRPr="006D2554" w:rsidTr="006D2554">
        <w:trPr>
          <w:trHeight w:val="255"/>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4A6A38" w:rsidP="00592B16">
            <w:pPr>
              <w:spacing w:before="0" w:after="0" w:line="240" w:lineRule="auto"/>
              <w:jc w:val="left"/>
              <w:rPr>
                <w:rFonts w:eastAsia="Times New Roman" w:cs="Arial"/>
                <w:b w:val="0"/>
                <w:sz w:val="16"/>
                <w:szCs w:val="16"/>
                <w:lang w:eastAsia="fr-LU"/>
              </w:rPr>
            </w:pPr>
            <w:r w:rsidRPr="006D2554">
              <w:rPr>
                <w:rFonts w:eastAsia="Times New Roman" w:cs="Arial"/>
                <w:b w:val="0"/>
                <w:sz w:val="16"/>
                <w:szCs w:val="16"/>
                <w:lang w:eastAsia="fr-LU"/>
              </w:rPr>
              <w:t xml:space="preserve">Futures </w:t>
            </w:r>
            <w:r w:rsidR="00592B16">
              <w:rPr>
                <w:rFonts w:eastAsia="Times New Roman" w:cs="Arial"/>
                <w:b w:val="0"/>
                <w:sz w:val="16"/>
                <w:szCs w:val="16"/>
                <w:lang w:eastAsia="fr-LU"/>
              </w:rPr>
              <w:t>and/or</w:t>
            </w:r>
            <w:r w:rsidRPr="006D2554">
              <w:rPr>
                <w:rFonts w:eastAsia="Times New Roman" w:cs="Arial"/>
                <w:b w:val="0"/>
                <w:sz w:val="16"/>
                <w:szCs w:val="16"/>
                <w:lang w:eastAsia="fr-LU"/>
              </w:rPr>
              <w:t xml:space="preserve"> </w:t>
            </w:r>
            <w:r w:rsidR="00592B16">
              <w:rPr>
                <w:rFonts w:eastAsia="Times New Roman" w:cs="Arial"/>
                <w:b w:val="0"/>
                <w:sz w:val="16"/>
                <w:szCs w:val="16"/>
                <w:lang w:eastAsia="fr-LU"/>
              </w:rPr>
              <w:t>o</w:t>
            </w:r>
            <w:r w:rsidRPr="006D2554">
              <w:rPr>
                <w:rFonts w:eastAsia="Times New Roman" w:cs="Arial"/>
                <w:b w:val="0"/>
                <w:sz w:val="16"/>
                <w:szCs w:val="16"/>
                <w:lang w:eastAsia="fr-LU"/>
              </w:rPr>
              <w:t>ptions</w:t>
            </w:r>
          </w:p>
        </w:tc>
        <w:tc>
          <w:tcPr>
            <w:tcW w:w="1420"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w:t>
            </w:r>
            <w:r w:rsidR="00592B16">
              <w:rPr>
                <w:rFonts w:cs="Arial"/>
                <w:sz w:val="16"/>
                <w:szCs w:val="16"/>
              </w:rPr>
              <w:t>.</w:t>
            </w:r>
            <w:r w:rsidRPr="006D2554">
              <w:rPr>
                <w:rFonts w:cs="Arial"/>
                <w:sz w:val="16"/>
                <w:szCs w:val="16"/>
              </w:rPr>
              <w:t>967</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40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053</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056</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003</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592B16" w:rsidP="004A6A38">
            <w:pPr>
              <w:spacing w:before="0" w:after="0" w:line="240" w:lineRule="auto"/>
              <w:jc w:val="left"/>
              <w:rPr>
                <w:rFonts w:eastAsia="Times New Roman" w:cs="Arial"/>
                <w:b w:val="0"/>
                <w:sz w:val="16"/>
                <w:szCs w:val="16"/>
                <w:lang w:eastAsia="fr-LU"/>
              </w:rPr>
            </w:pPr>
            <w:r>
              <w:rPr>
                <w:rFonts w:eastAsia="Times New Roman" w:cs="Arial"/>
                <w:b w:val="0"/>
                <w:sz w:val="16"/>
                <w:szCs w:val="16"/>
                <w:lang w:eastAsia="fr-LU"/>
              </w:rPr>
              <w:t>Other assets</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43.</w:t>
            </w:r>
            <w:r w:rsidR="004A6A38" w:rsidRPr="006D2554">
              <w:rPr>
                <w:rFonts w:cs="Arial"/>
                <w:sz w:val="16"/>
                <w:szCs w:val="16"/>
              </w:rPr>
              <w:t>731</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200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949</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872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r w:rsidR="004A6A38" w:rsidRPr="006D2554">
              <w:rPr>
                <w:rFonts w:cs="Arial"/>
                <w:sz w:val="16"/>
                <w:szCs w:val="16"/>
              </w:rPr>
              <w:t>077</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4A6A38" w:rsidP="00592B16">
            <w:pPr>
              <w:spacing w:before="0" w:after="0" w:line="240" w:lineRule="auto"/>
              <w:jc w:val="right"/>
              <w:rPr>
                <w:rFonts w:eastAsia="Times New Roman" w:cs="Arial"/>
                <w:sz w:val="16"/>
                <w:szCs w:val="16"/>
                <w:lang w:eastAsia="fr-LU"/>
              </w:rPr>
            </w:pPr>
            <w:r w:rsidRPr="006D2554">
              <w:rPr>
                <w:rFonts w:eastAsia="Times New Roman" w:cs="Arial"/>
                <w:sz w:val="16"/>
                <w:szCs w:val="16"/>
                <w:lang w:eastAsia="fr-LU"/>
              </w:rPr>
              <w:t xml:space="preserve">TOTAL </w:t>
            </w:r>
            <w:r w:rsidR="00592B16">
              <w:rPr>
                <w:rFonts w:eastAsia="Times New Roman" w:cs="Arial"/>
                <w:sz w:val="16"/>
                <w:szCs w:val="16"/>
                <w:lang w:eastAsia="fr-LU"/>
              </w:rPr>
              <w:t>SIFs</w:t>
            </w:r>
            <w:r w:rsidRPr="006D2554">
              <w:rPr>
                <w:rFonts w:eastAsia="Times New Roman" w:cs="Arial"/>
                <w:sz w:val="16"/>
                <w:szCs w:val="16"/>
                <w:lang w:eastAsia="fr-LU"/>
              </w:rPr>
              <w:t>:</w:t>
            </w:r>
          </w:p>
        </w:tc>
        <w:tc>
          <w:tcPr>
            <w:tcW w:w="1420"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4</w:t>
            </w:r>
            <w:r w:rsidR="00592B16">
              <w:rPr>
                <w:rFonts w:cs="Arial"/>
                <w:b/>
                <w:bCs/>
                <w:sz w:val="16"/>
                <w:szCs w:val="16"/>
              </w:rPr>
              <w:t>58.</w:t>
            </w:r>
            <w:r w:rsidRPr="006D2554">
              <w:rPr>
                <w:rFonts w:cs="Arial"/>
                <w:b/>
                <w:bCs/>
                <w:sz w:val="16"/>
                <w:szCs w:val="16"/>
              </w:rPr>
              <w:t>911</w:t>
            </w:r>
          </w:p>
        </w:tc>
        <w:tc>
          <w:tcPr>
            <w:tcW w:w="1273"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3,</w:t>
            </w:r>
            <w:r w:rsidR="004A6A38" w:rsidRPr="006D2554">
              <w:rPr>
                <w:rFonts w:cs="Arial"/>
                <w:b/>
                <w:bCs/>
                <w:sz w:val="16"/>
                <w:szCs w:val="16"/>
              </w:rPr>
              <w:t>471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11.</w:t>
            </w:r>
            <w:r w:rsidR="004A6A38" w:rsidRPr="006D2554">
              <w:rPr>
                <w:rFonts w:cs="Arial"/>
                <w:b/>
                <w:bCs/>
                <w:sz w:val="16"/>
                <w:szCs w:val="16"/>
              </w:rPr>
              <w:t>321</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4.</w:t>
            </w:r>
            <w:r w:rsidR="004A6A38" w:rsidRPr="006D2554">
              <w:rPr>
                <w:rFonts w:cs="Arial"/>
                <w:b/>
                <w:bCs/>
                <w:sz w:val="16"/>
                <w:szCs w:val="16"/>
              </w:rPr>
              <w:t>761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6.</w:t>
            </w:r>
            <w:r w:rsidR="004A6A38" w:rsidRPr="006D2554">
              <w:rPr>
                <w:rFonts w:cs="Arial"/>
                <w:b/>
                <w:bCs/>
                <w:sz w:val="16"/>
                <w:szCs w:val="16"/>
              </w:rPr>
              <w:t>560</w:t>
            </w:r>
          </w:p>
        </w:tc>
      </w:tr>
      <w:tr w:rsidR="00293604"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tcPr>
          <w:p w:rsidR="00293604" w:rsidRPr="006D2554" w:rsidRDefault="00293604" w:rsidP="00293604">
            <w:pPr>
              <w:spacing w:before="0" w:after="0" w:line="240" w:lineRule="auto"/>
              <w:jc w:val="left"/>
              <w:rPr>
                <w:rFonts w:eastAsia="Times New Roman" w:cs="Arial"/>
                <w:sz w:val="16"/>
                <w:szCs w:val="16"/>
                <w:lang w:eastAsia="fr-LU"/>
              </w:rPr>
            </w:pPr>
            <w:r w:rsidRPr="006D2554">
              <w:rPr>
                <w:rFonts w:eastAsia="Times New Roman" w:cs="Arial"/>
                <w:sz w:val="16"/>
                <w:szCs w:val="16"/>
                <w:lang w:eastAsia="fr-LU"/>
              </w:rPr>
              <w:t>SICAR</w:t>
            </w:r>
            <w:r w:rsidR="00592B16">
              <w:rPr>
                <w:rFonts w:eastAsia="Times New Roman" w:cs="Arial"/>
                <w:sz w:val="16"/>
                <w:szCs w:val="16"/>
                <w:lang w:eastAsia="fr-LU"/>
              </w:rPr>
              <w:t>s</w:t>
            </w:r>
          </w:p>
        </w:tc>
        <w:tc>
          <w:tcPr>
            <w:tcW w:w="1420"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1273"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1532"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1390"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1532" w:type="dxa"/>
            <w:tcBorders>
              <w:left w:val="nil"/>
              <w:right w:val="nil"/>
            </w:tcBorders>
            <w:noWrap/>
            <w:vAlign w:val="bottom"/>
          </w:tcPr>
          <w:p w:rsidR="00293604" w:rsidRPr="006D2554" w:rsidRDefault="00293604"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tcPr>
          <w:p w:rsidR="004A6A38" w:rsidRPr="006D2554" w:rsidRDefault="004A6A38" w:rsidP="004A6A38">
            <w:pPr>
              <w:spacing w:before="0" w:after="0" w:line="240" w:lineRule="auto"/>
              <w:jc w:val="left"/>
              <w:rPr>
                <w:rFonts w:eastAsia="Times New Roman" w:cs="Arial"/>
                <w:b w:val="0"/>
                <w:sz w:val="16"/>
                <w:szCs w:val="16"/>
                <w:lang w:eastAsia="fr-LU"/>
              </w:rPr>
            </w:pPr>
            <w:r w:rsidRPr="006D2554">
              <w:rPr>
                <w:rFonts w:eastAsia="Times New Roman" w:cs="Arial"/>
                <w:b w:val="0"/>
                <w:sz w:val="16"/>
                <w:szCs w:val="16"/>
                <w:lang w:eastAsia="fr-LU"/>
              </w:rPr>
              <w:t>Public-to-Private</w:t>
            </w:r>
          </w:p>
        </w:tc>
        <w:tc>
          <w:tcPr>
            <w:tcW w:w="1420" w:type="dxa"/>
            <w:tcBorders>
              <w:left w:val="nil"/>
              <w:right w:val="nil"/>
            </w:tcBorders>
            <w:noWrap/>
            <w:vAlign w:val="center"/>
          </w:tcPr>
          <w:p w:rsidR="004A6A38" w:rsidRPr="006D2554" w:rsidRDefault="00592B16" w:rsidP="004A6A3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fr-LU"/>
              </w:rPr>
            </w:pPr>
            <w:r>
              <w:rPr>
                <w:rFonts w:cs="Arial"/>
                <w:sz w:val="16"/>
                <w:szCs w:val="16"/>
              </w:rPr>
              <w:t>0.</w:t>
            </w:r>
            <w:r w:rsidR="004A6A38" w:rsidRPr="006D2554">
              <w:rPr>
                <w:rFonts w:cs="Arial"/>
                <w:sz w:val="16"/>
                <w:szCs w:val="16"/>
              </w:rPr>
              <w:t>094</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3</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tcPr>
          <w:p w:rsidR="004A6A38" w:rsidRPr="006D2554" w:rsidRDefault="004A6A38" w:rsidP="004A6A38">
            <w:pPr>
              <w:spacing w:before="0" w:after="0" w:line="240" w:lineRule="auto"/>
              <w:jc w:val="left"/>
              <w:rPr>
                <w:rFonts w:eastAsia="Times New Roman" w:cs="Arial"/>
                <w:b w:val="0"/>
                <w:sz w:val="16"/>
                <w:szCs w:val="16"/>
                <w:lang w:eastAsia="fr-LU"/>
              </w:rPr>
            </w:pPr>
            <w:r w:rsidRPr="006D2554">
              <w:rPr>
                <w:rFonts w:eastAsia="Times New Roman" w:cs="Arial"/>
                <w:b w:val="0"/>
                <w:sz w:val="16"/>
                <w:szCs w:val="16"/>
                <w:lang w:eastAsia="fr-LU"/>
              </w:rPr>
              <w:t>Mezzanine</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w:t>
            </w:r>
            <w:r w:rsidR="004A6A38" w:rsidRPr="006D2554">
              <w:rPr>
                <w:rFonts w:cs="Arial"/>
                <w:sz w:val="16"/>
                <w:szCs w:val="16"/>
              </w:rPr>
              <w:t>507</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13</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tcPr>
          <w:p w:rsidR="004A6A38" w:rsidRPr="006D2554" w:rsidRDefault="004A6A38" w:rsidP="004A6A38">
            <w:pPr>
              <w:spacing w:before="0" w:after="0" w:line="240" w:lineRule="auto"/>
              <w:jc w:val="left"/>
              <w:rPr>
                <w:rFonts w:eastAsia="Times New Roman" w:cs="Arial"/>
                <w:b w:val="0"/>
                <w:sz w:val="16"/>
                <w:szCs w:val="16"/>
                <w:lang w:eastAsia="fr-LU"/>
              </w:rPr>
            </w:pPr>
            <w:r w:rsidRPr="006D2554">
              <w:rPr>
                <w:rFonts w:eastAsia="Times New Roman" w:cs="Arial"/>
                <w:b w:val="0"/>
                <w:sz w:val="16"/>
                <w:szCs w:val="16"/>
                <w:lang w:eastAsia="fr-LU"/>
              </w:rPr>
              <w:t>Venture Capital</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7.</w:t>
            </w:r>
            <w:r w:rsidR="004A6A38" w:rsidRPr="006D2554">
              <w:rPr>
                <w:rFonts w:cs="Arial"/>
                <w:sz w:val="16"/>
                <w:szCs w:val="16"/>
              </w:rPr>
              <w:t>811</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94</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001</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tcPr>
          <w:p w:rsidR="004A6A38" w:rsidRPr="006D2554" w:rsidRDefault="004A6A38" w:rsidP="004A6A38">
            <w:pPr>
              <w:spacing w:before="0" w:after="0" w:line="240" w:lineRule="auto"/>
              <w:jc w:val="left"/>
              <w:rPr>
                <w:rFonts w:eastAsia="Times New Roman" w:cs="Arial"/>
                <w:b w:val="0"/>
                <w:sz w:val="16"/>
                <w:szCs w:val="16"/>
                <w:lang w:eastAsia="fr-LU"/>
              </w:rPr>
            </w:pPr>
            <w:r w:rsidRPr="006D2554">
              <w:rPr>
                <w:rFonts w:eastAsia="Times New Roman" w:cs="Arial"/>
                <w:b w:val="0"/>
                <w:sz w:val="16"/>
                <w:szCs w:val="16"/>
                <w:lang w:eastAsia="fr-LU"/>
              </w:rPr>
              <w:t>Private Equity</w:t>
            </w:r>
          </w:p>
        </w:tc>
        <w:tc>
          <w:tcPr>
            <w:tcW w:w="142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32.</w:t>
            </w:r>
            <w:r w:rsidR="004A6A38" w:rsidRPr="006D2554">
              <w:rPr>
                <w:rFonts w:cs="Arial"/>
                <w:sz w:val="16"/>
                <w:szCs w:val="16"/>
              </w:rPr>
              <w:t>692</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6D2554">
              <w:rPr>
                <w:rFonts w:cs="Arial"/>
                <w:sz w:val="16"/>
                <w:szCs w:val="16"/>
              </w:rPr>
              <w:t>292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000</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024</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r w:rsidR="004A6A38" w:rsidRPr="006D2554">
              <w:rPr>
                <w:rFonts w:cs="Arial"/>
                <w:sz w:val="16"/>
                <w:szCs w:val="16"/>
              </w:rPr>
              <w:t>024</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tcPr>
          <w:p w:rsidR="004A6A38" w:rsidRPr="006D2554" w:rsidRDefault="004A6A38" w:rsidP="00592B16">
            <w:pPr>
              <w:spacing w:before="0" w:after="0" w:line="240" w:lineRule="auto"/>
              <w:jc w:val="right"/>
              <w:rPr>
                <w:rFonts w:eastAsia="Times New Roman" w:cs="Arial"/>
                <w:sz w:val="16"/>
                <w:szCs w:val="16"/>
                <w:lang w:eastAsia="fr-LU"/>
              </w:rPr>
            </w:pPr>
            <w:r w:rsidRPr="006D2554">
              <w:rPr>
                <w:rFonts w:eastAsia="Times New Roman" w:cs="Arial"/>
                <w:sz w:val="16"/>
                <w:szCs w:val="16"/>
                <w:lang w:eastAsia="fr-LU"/>
              </w:rPr>
              <w:t>TOTAL SICAR</w:t>
            </w:r>
            <w:r w:rsidR="00592B16">
              <w:rPr>
                <w:rFonts w:eastAsia="Times New Roman" w:cs="Arial"/>
                <w:sz w:val="16"/>
                <w:szCs w:val="16"/>
                <w:lang w:eastAsia="fr-LU"/>
              </w:rPr>
              <w:t>s:</w:t>
            </w:r>
          </w:p>
        </w:tc>
        <w:tc>
          <w:tcPr>
            <w:tcW w:w="1420"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4</w:t>
            </w:r>
            <w:r w:rsidR="00592B16">
              <w:rPr>
                <w:rFonts w:cs="Arial"/>
                <w:b/>
                <w:bCs/>
                <w:sz w:val="16"/>
                <w:szCs w:val="16"/>
              </w:rPr>
              <w:t>3.</w:t>
            </w:r>
            <w:r w:rsidRPr="006D2554">
              <w:rPr>
                <w:rFonts w:cs="Arial"/>
                <w:b/>
                <w:bCs/>
                <w:sz w:val="16"/>
                <w:szCs w:val="16"/>
              </w:rPr>
              <w:t>104</w:t>
            </w:r>
          </w:p>
        </w:tc>
        <w:tc>
          <w:tcPr>
            <w:tcW w:w="1273"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402</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0.</w:t>
            </w:r>
            <w:r w:rsidR="004A6A38" w:rsidRPr="006D2554">
              <w:rPr>
                <w:rFonts w:cs="Arial"/>
                <w:b/>
                <w:bCs/>
                <w:sz w:val="16"/>
                <w:szCs w:val="16"/>
              </w:rPr>
              <w:t>000</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0.</w:t>
            </w:r>
            <w:r w:rsidR="004A6A38" w:rsidRPr="006D2554">
              <w:rPr>
                <w:rFonts w:cs="Arial"/>
                <w:b/>
                <w:bCs/>
                <w:sz w:val="16"/>
                <w:szCs w:val="16"/>
              </w:rPr>
              <w:t>025</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-0.</w:t>
            </w:r>
            <w:r w:rsidR="004A6A38" w:rsidRPr="006D2554">
              <w:rPr>
                <w:rFonts w:cs="Arial"/>
                <w:b/>
                <w:bCs/>
                <w:sz w:val="16"/>
                <w:szCs w:val="16"/>
              </w:rPr>
              <w:t>025</w:t>
            </w:r>
          </w:p>
        </w:tc>
      </w:tr>
      <w:tr w:rsidR="004A6A38" w:rsidRPr="006D2554" w:rsidTr="006D2554">
        <w:trPr>
          <w:trHeight w:val="270"/>
          <w:jc w:val="center"/>
        </w:trPr>
        <w:tc>
          <w:tcPr>
            <w:cnfStyle w:val="001000000000" w:firstRow="0" w:lastRow="0" w:firstColumn="1" w:lastColumn="0" w:oddVBand="0" w:evenVBand="0" w:oddHBand="0" w:evenHBand="0" w:firstRowFirstColumn="0" w:firstRowLastColumn="0" w:lastRowFirstColumn="0" w:lastRowLastColumn="0"/>
            <w:tcW w:w="4111" w:type="dxa"/>
            <w:tcBorders>
              <w:left w:val="nil"/>
              <w:right w:val="nil"/>
            </w:tcBorders>
            <w:noWrap/>
            <w:vAlign w:val="center"/>
            <w:hideMark/>
          </w:tcPr>
          <w:p w:rsidR="004A6A38" w:rsidRPr="006D2554" w:rsidRDefault="004A6A38" w:rsidP="00AD0289">
            <w:pPr>
              <w:spacing w:before="0" w:after="0" w:line="240" w:lineRule="auto"/>
              <w:jc w:val="right"/>
              <w:rPr>
                <w:rFonts w:eastAsia="Times New Roman" w:cs="Arial"/>
                <w:sz w:val="16"/>
                <w:szCs w:val="16"/>
                <w:lang w:eastAsia="fr-LU"/>
              </w:rPr>
            </w:pPr>
            <w:r w:rsidRPr="006D2554">
              <w:rPr>
                <w:rFonts w:eastAsia="Times New Roman" w:cs="Arial"/>
                <w:sz w:val="16"/>
                <w:szCs w:val="16"/>
                <w:lang w:eastAsia="fr-LU"/>
              </w:rPr>
              <w:t xml:space="preserve">TOTAL </w:t>
            </w:r>
            <w:r w:rsidR="00592B16">
              <w:rPr>
                <w:rFonts w:eastAsia="Times New Roman" w:cs="Arial"/>
                <w:sz w:val="16"/>
                <w:szCs w:val="16"/>
                <w:lang w:eastAsia="fr-LU"/>
              </w:rPr>
              <w:t>L</w:t>
            </w:r>
            <w:r w:rsidR="00AD0289">
              <w:rPr>
                <w:rFonts w:eastAsia="Times New Roman" w:cs="Arial"/>
                <w:sz w:val="16"/>
                <w:szCs w:val="16"/>
                <w:lang w:eastAsia="fr-LU"/>
              </w:rPr>
              <w:t>UXEMBOURG</w:t>
            </w:r>
            <w:r w:rsidR="00592B16">
              <w:rPr>
                <w:rFonts w:eastAsia="Times New Roman" w:cs="Arial"/>
                <w:sz w:val="16"/>
                <w:szCs w:val="16"/>
                <w:lang w:eastAsia="fr-LU"/>
              </w:rPr>
              <w:t xml:space="preserve"> UCIs:</w:t>
            </w:r>
          </w:p>
        </w:tc>
        <w:tc>
          <w:tcPr>
            <w:tcW w:w="1420"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3</w:t>
            </w:r>
            <w:r w:rsidR="00592B16">
              <w:rPr>
                <w:rFonts w:cs="Arial"/>
                <w:b/>
                <w:bCs/>
                <w:sz w:val="16"/>
                <w:szCs w:val="16"/>
              </w:rPr>
              <w:t>,987.</w:t>
            </w:r>
            <w:r w:rsidRPr="006D2554">
              <w:rPr>
                <w:rFonts w:cs="Arial"/>
                <w:b/>
                <w:bCs/>
                <w:sz w:val="16"/>
                <w:szCs w:val="16"/>
              </w:rPr>
              <w:t>328</w:t>
            </w:r>
          </w:p>
        </w:tc>
        <w:tc>
          <w:tcPr>
            <w:tcW w:w="1273" w:type="dxa"/>
            <w:tcBorders>
              <w:left w:val="nil"/>
              <w:right w:val="nil"/>
            </w:tcBorders>
            <w:noWrap/>
            <w:vAlign w:val="center"/>
          </w:tcPr>
          <w:p w:rsidR="004A6A38" w:rsidRPr="006D2554" w:rsidRDefault="004A6A38" w:rsidP="00592B16">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14</w:t>
            </w:r>
            <w:r w:rsidR="00592B16">
              <w:rPr>
                <w:rFonts w:cs="Arial"/>
                <w:b/>
                <w:bCs/>
                <w:sz w:val="16"/>
                <w:szCs w:val="16"/>
              </w:rPr>
              <w:t>,</w:t>
            </w:r>
            <w:r w:rsidRPr="006D2554">
              <w:rPr>
                <w:rFonts w:cs="Arial"/>
                <w:b/>
                <w:bCs/>
                <w:sz w:val="16"/>
                <w:szCs w:val="16"/>
              </w:rPr>
              <w:t>698</w:t>
            </w:r>
          </w:p>
        </w:tc>
        <w:tc>
          <w:tcPr>
            <w:tcW w:w="1532" w:type="dxa"/>
            <w:tcBorders>
              <w:left w:val="nil"/>
              <w:right w:val="nil"/>
            </w:tcBorders>
            <w:noWrap/>
            <w:vAlign w:val="center"/>
          </w:tcPr>
          <w:p w:rsidR="004A6A38" w:rsidRPr="006D2554"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6D2554">
              <w:rPr>
                <w:rFonts w:cs="Arial"/>
                <w:b/>
                <w:bCs/>
                <w:sz w:val="16"/>
                <w:szCs w:val="16"/>
              </w:rPr>
              <w:t>2</w:t>
            </w:r>
            <w:r w:rsidR="00592B16">
              <w:rPr>
                <w:rFonts w:cs="Arial"/>
                <w:b/>
                <w:bCs/>
                <w:sz w:val="16"/>
                <w:szCs w:val="16"/>
              </w:rPr>
              <w:t>34.</w:t>
            </w:r>
            <w:r w:rsidRPr="006D2554">
              <w:rPr>
                <w:rFonts w:cs="Arial"/>
                <w:b/>
                <w:bCs/>
                <w:sz w:val="16"/>
                <w:szCs w:val="16"/>
              </w:rPr>
              <w:t>139</w:t>
            </w:r>
          </w:p>
        </w:tc>
        <w:tc>
          <w:tcPr>
            <w:tcW w:w="1390"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200.</w:t>
            </w:r>
            <w:r w:rsidR="004A6A38" w:rsidRPr="006D2554">
              <w:rPr>
                <w:rFonts w:cs="Arial"/>
                <w:b/>
                <w:bCs/>
                <w:sz w:val="16"/>
                <w:szCs w:val="16"/>
              </w:rPr>
              <w:t>841</w:t>
            </w:r>
          </w:p>
        </w:tc>
        <w:tc>
          <w:tcPr>
            <w:tcW w:w="1532" w:type="dxa"/>
            <w:tcBorders>
              <w:left w:val="nil"/>
              <w:right w:val="nil"/>
            </w:tcBorders>
            <w:noWrap/>
            <w:vAlign w:val="center"/>
          </w:tcPr>
          <w:p w:rsidR="004A6A38" w:rsidRPr="006D2554" w:rsidRDefault="00592B16"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33.</w:t>
            </w:r>
            <w:r w:rsidR="004A6A38" w:rsidRPr="006D2554">
              <w:rPr>
                <w:rFonts w:cs="Arial"/>
                <w:b/>
                <w:bCs/>
                <w:sz w:val="16"/>
                <w:szCs w:val="16"/>
              </w:rPr>
              <w:t>298</w:t>
            </w:r>
          </w:p>
        </w:tc>
      </w:tr>
    </w:tbl>
    <w:p w:rsidR="00460449" w:rsidRPr="00592B16" w:rsidRDefault="00592B16" w:rsidP="00293604">
      <w:pPr>
        <w:pStyle w:val="Heading3"/>
        <w:rPr>
          <w:lang w:val="en-US"/>
        </w:rPr>
      </w:pPr>
      <w:r w:rsidRPr="00592B16">
        <w:rPr>
          <w:lang w:val="en-US"/>
        </w:rPr>
        <w:lastRenderedPageBreak/>
        <w:t>Origin</w:t>
      </w:r>
      <w:r w:rsidR="00460449" w:rsidRPr="00592B16">
        <w:rPr>
          <w:lang w:val="en-US"/>
        </w:rPr>
        <w:t xml:space="preserve"> </w:t>
      </w:r>
      <w:r w:rsidRPr="00592B16">
        <w:rPr>
          <w:lang w:val="en-US"/>
        </w:rPr>
        <w:t>of the initiators of Luxembourg UCIs</w:t>
      </w:r>
    </w:p>
    <w:tbl>
      <w:tblPr>
        <w:tblStyle w:val="GridTable1Light-Accent1"/>
        <w:tblW w:w="8598" w:type="dxa"/>
        <w:tblLook w:val="04A0" w:firstRow="1" w:lastRow="0" w:firstColumn="1" w:lastColumn="0" w:noHBand="0" w:noVBand="1"/>
      </w:tblPr>
      <w:tblGrid>
        <w:gridCol w:w="1701"/>
        <w:gridCol w:w="1559"/>
        <w:gridCol w:w="992"/>
        <w:gridCol w:w="1126"/>
        <w:gridCol w:w="960"/>
        <w:gridCol w:w="1300"/>
        <w:gridCol w:w="960"/>
      </w:tblGrid>
      <w:tr w:rsidR="00B04AFF" w:rsidRPr="00B04AFF" w:rsidTr="00393D31">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vAlign w:val="center"/>
            <w:hideMark/>
          </w:tcPr>
          <w:p w:rsidR="00B04AFF" w:rsidRPr="00B04AFF" w:rsidRDefault="00592B16" w:rsidP="00B04AFF">
            <w:pPr>
              <w:spacing w:before="0" w:after="0" w:line="240" w:lineRule="auto"/>
              <w:jc w:val="left"/>
              <w:rPr>
                <w:rFonts w:eastAsia="Times New Roman" w:cs="Arial"/>
                <w:szCs w:val="20"/>
                <w:lang w:eastAsia="fr-LU"/>
              </w:rPr>
            </w:pPr>
            <w:r>
              <w:rPr>
                <w:rFonts w:eastAsia="Times New Roman" w:cs="Arial"/>
                <w:szCs w:val="20"/>
                <w:lang w:eastAsia="fr-LU"/>
              </w:rPr>
              <w:t>Country</w:t>
            </w:r>
          </w:p>
        </w:tc>
        <w:tc>
          <w:tcPr>
            <w:tcW w:w="1559" w:type="dxa"/>
            <w:tcBorders>
              <w:left w:val="nil"/>
              <w:right w:val="nil"/>
            </w:tcBorders>
            <w:vAlign w:val="center"/>
            <w:hideMark/>
          </w:tcPr>
          <w:p w:rsidR="00B04AFF" w:rsidRPr="00B04AFF" w:rsidRDefault="00592B16" w:rsidP="00592B1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 xml:space="preserve">Net assets </w:t>
            </w:r>
            <w:r>
              <w:rPr>
                <w:rFonts w:eastAsia="Times New Roman" w:cs="Arial"/>
                <w:szCs w:val="20"/>
                <w:lang w:eastAsia="fr-LU"/>
              </w:rPr>
              <w:br/>
              <w:t>(i</w:t>
            </w:r>
            <w:r w:rsidR="00B04AFF" w:rsidRPr="00B04AFF">
              <w:rPr>
                <w:rFonts w:eastAsia="Times New Roman" w:cs="Arial"/>
                <w:szCs w:val="20"/>
                <w:lang w:eastAsia="fr-LU"/>
              </w:rPr>
              <w:t xml:space="preserve">n </w:t>
            </w:r>
            <w:r>
              <w:rPr>
                <w:rFonts w:eastAsia="Times New Roman" w:cs="Arial"/>
                <w:szCs w:val="20"/>
                <w:lang w:eastAsia="fr-LU"/>
              </w:rPr>
              <w:t>bn</w:t>
            </w:r>
            <w:r w:rsidR="00B04AFF" w:rsidRPr="00B04AFF">
              <w:rPr>
                <w:rFonts w:eastAsia="Times New Roman" w:cs="Arial"/>
                <w:szCs w:val="20"/>
                <w:lang w:eastAsia="fr-LU"/>
              </w:rPr>
              <w:t xml:space="preserve"> </w:t>
            </w:r>
            <w:r>
              <w:rPr>
                <w:rFonts w:eastAsia="Times New Roman" w:cs="Arial"/>
                <w:szCs w:val="20"/>
                <w:lang w:eastAsia="fr-LU"/>
              </w:rPr>
              <w:t>EUR)</w:t>
            </w:r>
          </w:p>
        </w:tc>
        <w:tc>
          <w:tcPr>
            <w:tcW w:w="992" w:type="dxa"/>
            <w:tcBorders>
              <w:left w:val="nil"/>
              <w:right w:val="nil"/>
            </w:tcBorders>
            <w:vAlign w:val="center"/>
            <w:hideMark/>
          </w:tcPr>
          <w:p w:rsidR="00B04AFF" w:rsidRPr="00B04AFF" w:rsidRDefault="00592B16" w:rsidP="00B04AF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i</w:t>
            </w:r>
            <w:r w:rsidR="00B04AFF" w:rsidRPr="00B04AFF">
              <w:rPr>
                <w:rFonts w:eastAsia="Times New Roman" w:cs="Arial"/>
                <w:szCs w:val="20"/>
                <w:lang w:eastAsia="fr-LU"/>
              </w:rPr>
              <w:t>n %</w:t>
            </w:r>
          </w:p>
        </w:tc>
        <w:tc>
          <w:tcPr>
            <w:tcW w:w="1126" w:type="dxa"/>
            <w:tcBorders>
              <w:left w:val="nil"/>
              <w:right w:val="nil"/>
            </w:tcBorders>
            <w:vAlign w:val="center"/>
            <w:hideMark/>
          </w:tcPr>
          <w:p w:rsidR="00B04AFF" w:rsidRPr="00B04AFF" w:rsidRDefault="00B04AFF" w:rsidP="00592B1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sidRPr="00B04AFF">
              <w:rPr>
                <w:rFonts w:eastAsia="Times New Roman" w:cs="Arial"/>
                <w:szCs w:val="20"/>
                <w:lang w:eastAsia="fr-LU"/>
              </w:rPr>
              <w:t>N</w:t>
            </w:r>
            <w:r w:rsidR="00592B16">
              <w:rPr>
                <w:rFonts w:eastAsia="Times New Roman" w:cs="Arial"/>
                <w:szCs w:val="20"/>
                <w:lang w:eastAsia="fr-LU"/>
              </w:rPr>
              <w:t>u</w:t>
            </w:r>
            <w:r w:rsidRPr="00B04AFF">
              <w:rPr>
                <w:rFonts w:eastAsia="Times New Roman" w:cs="Arial"/>
                <w:szCs w:val="20"/>
                <w:lang w:eastAsia="fr-LU"/>
              </w:rPr>
              <w:t>mb</w:t>
            </w:r>
            <w:r w:rsidR="00592B16">
              <w:rPr>
                <w:rFonts w:eastAsia="Times New Roman" w:cs="Arial"/>
                <w:szCs w:val="20"/>
                <w:lang w:eastAsia="fr-LU"/>
              </w:rPr>
              <w:t>er of</w:t>
            </w:r>
            <w:r w:rsidRPr="00B04AFF">
              <w:rPr>
                <w:rFonts w:eastAsia="Times New Roman" w:cs="Arial"/>
                <w:szCs w:val="20"/>
                <w:lang w:eastAsia="fr-LU"/>
              </w:rPr>
              <w:t xml:space="preserve"> </w:t>
            </w:r>
            <w:r w:rsidR="00592B16">
              <w:rPr>
                <w:rFonts w:eastAsia="Times New Roman" w:cs="Arial"/>
                <w:szCs w:val="20"/>
                <w:lang w:eastAsia="fr-LU"/>
              </w:rPr>
              <w:t>UCIs</w:t>
            </w:r>
          </w:p>
        </w:tc>
        <w:tc>
          <w:tcPr>
            <w:tcW w:w="960" w:type="dxa"/>
            <w:tcBorders>
              <w:left w:val="nil"/>
              <w:right w:val="nil"/>
            </w:tcBorders>
            <w:vAlign w:val="center"/>
            <w:hideMark/>
          </w:tcPr>
          <w:p w:rsidR="00B04AFF" w:rsidRPr="00B04AFF" w:rsidRDefault="00592B16" w:rsidP="00B04AF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i</w:t>
            </w:r>
            <w:r w:rsidR="00B04AFF" w:rsidRPr="00B04AFF">
              <w:rPr>
                <w:rFonts w:eastAsia="Times New Roman" w:cs="Arial"/>
                <w:szCs w:val="20"/>
                <w:lang w:eastAsia="fr-LU"/>
              </w:rPr>
              <w:t>n %</w:t>
            </w:r>
          </w:p>
        </w:tc>
        <w:tc>
          <w:tcPr>
            <w:tcW w:w="1300" w:type="dxa"/>
            <w:tcBorders>
              <w:left w:val="nil"/>
              <w:right w:val="nil"/>
            </w:tcBorders>
            <w:vAlign w:val="center"/>
            <w:hideMark/>
          </w:tcPr>
          <w:p w:rsidR="00B04AFF" w:rsidRPr="00B04AFF" w:rsidRDefault="00592B16" w:rsidP="0018472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Nu</w:t>
            </w:r>
            <w:r w:rsidR="00B04AFF" w:rsidRPr="00B04AFF">
              <w:rPr>
                <w:rFonts w:eastAsia="Times New Roman" w:cs="Arial"/>
                <w:szCs w:val="20"/>
                <w:lang w:eastAsia="fr-LU"/>
              </w:rPr>
              <w:t>mb</w:t>
            </w:r>
            <w:r w:rsidR="0018472B">
              <w:rPr>
                <w:rFonts w:eastAsia="Times New Roman" w:cs="Arial"/>
                <w:szCs w:val="20"/>
                <w:lang w:eastAsia="fr-LU"/>
              </w:rPr>
              <w:t>er of</w:t>
            </w:r>
            <w:r w:rsidR="00B04AFF" w:rsidRPr="00B04AFF">
              <w:rPr>
                <w:rFonts w:eastAsia="Times New Roman" w:cs="Arial"/>
                <w:szCs w:val="20"/>
                <w:lang w:eastAsia="fr-LU"/>
              </w:rPr>
              <w:t xml:space="preserve"> </w:t>
            </w:r>
            <w:r w:rsidR="0018472B">
              <w:rPr>
                <w:rFonts w:eastAsia="Times New Roman" w:cs="Arial"/>
                <w:szCs w:val="20"/>
                <w:lang w:eastAsia="fr-LU"/>
              </w:rPr>
              <w:t>fund units</w:t>
            </w:r>
          </w:p>
        </w:tc>
        <w:tc>
          <w:tcPr>
            <w:tcW w:w="960" w:type="dxa"/>
            <w:tcBorders>
              <w:left w:val="nil"/>
              <w:right w:val="nil"/>
            </w:tcBorders>
            <w:vAlign w:val="center"/>
            <w:hideMark/>
          </w:tcPr>
          <w:p w:rsidR="00B04AFF" w:rsidRPr="00B04AFF" w:rsidRDefault="0018472B" w:rsidP="00B04AF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i</w:t>
            </w:r>
            <w:r w:rsidR="00B04AFF" w:rsidRPr="00B04AFF">
              <w:rPr>
                <w:rFonts w:eastAsia="Times New Roman" w:cs="Arial"/>
                <w:szCs w:val="20"/>
                <w:lang w:eastAsia="fr-LU"/>
              </w:rPr>
              <w:t>n %</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United States</w:t>
            </w:r>
          </w:p>
        </w:tc>
        <w:tc>
          <w:tcPr>
            <w:tcW w:w="1559" w:type="dxa"/>
            <w:tcBorders>
              <w:left w:val="nil"/>
              <w:right w:val="nil"/>
            </w:tcBorders>
            <w:noWrap/>
            <w:vAlign w:val="center"/>
          </w:tcPr>
          <w:p w:rsidR="004A6A38" w:rsidRDefault="00393D31" w:rsidP="004A6A38">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Cs w:val="20"/>
                <w:lang w:eastAsia="fr-LU"/>
              </w:rPr>
            </w:pPr>
            <w:r>
              <w:rPr>
                <w:rFonts w:cs="Arial"/>
                <w:szCs w:val="20"/>
              </w:rPr>
              <w:t>817.</w:t>
            </w:r>
            <w:r w:rsidR="004A6A38">
              <w:rPr>
                <w:rFonts w:cs="Arial"/>
                <w:szCs w:val="20"/>
              </w:rPr>
              <w:t>427</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w:t>
            </w:r>
            <w:r w:rsidR="004A6A38">
              <w:rPr>
                <w:rFonts w:cs="Arial"/>
                <w:szCs w:val="20"/>
              </w:rPr>
              <w:t>5%</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182</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r w:rsidR="004A6A38">
              <w:rPr>
                <w:rFonts w:cs="Arial"/>
                <w:szCs w:val="20"/>
              </w:rPr>
              <w:t>4%</w:t>
            </w:r>
          </w:p>
        </w:tc>
        <w:tc>
          <w:tcPr>
            <w:tcW w:w="130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062</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w:t>
            </w:r>
            <w:r w:rsidR="004A6A38">
              <w:rPr>
                <w:rFonts w:cs="Arial"/>
                <w:szCs w:val="20"/>
              </w:rPr>
              <w:t>2%</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United Kingdom</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695.</w:t>
            </w:r>
            <w:r w:rsidR="004A6A38">
              <w:rPr>
                <w:rFonts w:cs="Arial"/>
                <w:szCs w:val="20"/>
              </w:rPr>
              <w:t>115</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17.</w:t>
            </w:r>
            <w:r w:rsidR="004A6A38">
              <w:rPr>
                <w:rFonts w:cs="Arial"/>
                <w:szCs w:val="20"/>
              </w:rPr>
              <w:t>4%</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282</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w:t>
            </w:r>
            <w:r w:rsidR="004A6A38">
              <w:rPr>
                <w:rFonts w:cs="Arial"/>
                <w:szCs w:val="20"/>
              </w:rPr>
              <w:t>8%</w:t>
            </w:r>
          </w:p>
        </w:tc>
        <w:tc>
          <w:tcPr>
            <w:tcW w:w="130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565</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w:t>
            </w:r>
            <w:r w:rsidR="004A6A38">
              <w:rPr>
                <w:rFonts w:cs="Arial"/>
                <w:szCs w:val="20"/>
              </w:rPr>
              <w:t>6%</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Germany</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574.</w:t>
            </w:r>
            <w:r w:rsidR="004A6A38">
              <w:rPr>
                <w:rFonts w:cs="Arial"/>
                <w:szCs w:val="20"/>
              </w:rPr>
              <w:t>613</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w:t>
            </w:r>
            <w:r w:rsidR="004A6A38">
              <w:rPr>
                <w:rFonts w:cs="Arial"/>
                <w:szCs w:val="20"/>
              </w:rPr>
              <w:t>4%</w:t>
            </w:r>
          </w:p>
        </w:tc>
        <w:tc>
          <w:tcPr>
            <w:tcW w:w="1126"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418</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34.</w:t>
            </w:r>
            <w:r w:rsidR="004A6A38">
              <w:rPr>
                <w:rFonts w:cs="Arial"/>
                <w:szCs w:val="20"/>
              </w:rPr>
              <w:t>4%</w:t>
            </w:r>
          </w:p>
        </w:tc>
        <w:tc>
          <w:tcPr>
            <w:tcW w:w="130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4A6A38">
              <w:rPr>
                <w:rFonts w:cs="Arial"/>
                <w:szCs w:val="20"/>
              </w:rPr>
              <w:t>727</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18.</w:t>
            </w:r>
            <w:r w:rsidR="004A6A38">
              <w:rPr>
                <w:rFonts w:cs="Arial"/>
                <w:szCs w:val="20"/>
              </w:rPr>
              <w:t>6%</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Switzerland</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542.</w:t>
            </w:r>
            <w:r w:rsidR="004A6A38">
              <w:rPr>
                <w:rFonts w:cs="Arial"/>
                <w:szCs w:val="20"/>
              </w:rPr>
              <w:t>946</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13.</w:t>
            </w:r>
            <w:r w:rsidR="004A6A38">
              <w:rPr>
                <w:rFonts w:cs="Arial"/>
                <w:szCs w:val="20"/>
              </w:rPr>
              <w:t>6%</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582</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14.</w:t>
            </w:r>
            <w:r w:rsidR="004A6A38">
              <w:rPr>
                <w:rFonts w:cs="Arial"/>
                <w:szCs w:val="20"/>
              </w:rPr>
              <w:t>1%</w:t>
            </w:r>
          </w:p>
        </w:tc>
        <w:tc>
          <w:tcPr>
            <w:tcW w:w="130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4A6A38">
              <w:rPr>
                <w:rFonts w:cs="Arial"/>
                <w:szCs w:val="20"/>
              </w:rPr>
              <w:t>749</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18.</w:t>
            </w:r>
            <w:r w:rsidR="004A6A38">
              <w:rPr>
                <w:rFonts w:cs="Arial"/>
                <w:szCs w:val="20"/>
              </w:rPr>
              <w:t>7%</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Italy</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340.</w:t>
            </w:r>
            <w:r w:rsidR="004A6A38">
              <w:rPr>
                <w:rFonts w:cs="Arial"/>
                <w:szCs w:val="20"/>
              </w:rPr>
              <w:t>862</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w:t>
            </w:r>
            <w:r w:rsidR="004A6A38">
              <w:rPr>
                <w:rFonts w:cs="Arial"/>
                <w:szCs w:val="20"/>
              </w:rPr>
              <w:t>5%</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151</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r w:rsidR="004A6A38">
              <w:rPr>
                <w:rFonts w:cs="Arial"/>
                <w:szCs w:val="20"/>
              </w:rPr>
              <w:t>7%</w:t>
            </w:r>
          </w:p>
        </w:tc>
        <w:tc>
          <w:tcPr>
            <w:tcW w:w="1300" w:type="dxa"/>
            <w:tcBorders>
              <w:left w:val="nil"/>
              <w:right w:val="nil"/>
            </w:tcBorders>
            <w:noWrap/>
            <w:vAlign w:val="center"/>
          </w:tcPr>
          <w:p w:rsidR="004A6A38" w:rsidRDefault="00393D31" w:rsidP="00393D31">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268</w:t>
            </w:r>
          </w:p>
        </w:tc>
        <w:tc>
          <w:tcPr>
            <w:tcW w:w="960"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w:t>
            </w:r>
            <w:r w:rsidR="00393D31">
              <w:rPr>
                <w:rFonts w:cs="Arial"/>
                <w:szCs w:val="20"/>
              </w:rPr>
              <w:t>.</w:t>
            </w:r>
            <w:r>
              <w:rPr>
                <w:rFonts w:cs="Arial"/>
                <w:szCs w:val="20"/>
              </w:rPr>
              <w:t>6%</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4A6A38" w:rsidP="004A6A38">
            <w:pPr>
              <w:spacing w:before="60" w:after="60" w:line="240" w:lineRule="auto"/>
              <w:jc w:val="left"/>
              <w:rPr>
                <w:rFonts w:eastAsia="Times New Roman" w:cs="Arial"/>
                <w:b w:val="0"/>
                <w:szCs w:val="20"/>
                <w:lang w:eastAsia="fr-LU"/>
              </w:rPr>
            </w:pPr>
            <w:r w:rsidRPr="00196B23">
              <w:rPr>
                <w:rFonts w:eastAsia="Times New Roman" w:cs="Arial"/>
                <w:b w:val="0"/>
                <w:szCs w:val="20"/>
                <w:lang w:eastAsia="fr-LU"/>
              </w:rPr>
              <w:t>France</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339.</w:t>
            </w:r>
            <w:r w:rsidR="004A6A38">
              <w:rPr>
                <w:rFonts w:cs="Arial"/>
                <w:szCs w:val="20"/>
              </w:rPr>
              <w:t>155</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w:t>
            </w:r>
            <w:r w:rsidR="004A6A38">
              <w:rPr>
                <w:rFonts w:cs="Arial"/>
                <w:szCs w:val="20"/>
              </w:rPr>
              <w:t>5%</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333</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w:t>
            </w:r>
            <w:r w:rsidR="004A6A38">
              <w:rPr>
                <w:rFonts w:cs="Arial"/>
                <w:szCs w:val="20"/>
              </w:rPr>
              <w:t>1%</w:t>
            </w:r>
          </w:p>
        </w:tc>
        <w:tc>
          <w:tcPr>
            <w:tcW w:w="130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421</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w:t>
            </w:r>
            <w:r w:rsidR="004A6A38">
              <w:rPr>
                <w:rFonts w:cs="Arial"/>
                <w:szCs w:val="20"/>
              </w:rPr>
              <w:t>7%</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4A6A38" w:rsidP="00393D31">
            <w:pPr>
              <w:spacing w:before="60" w:after="60" w:line="240" w:lineRule="auto"/>
              <w:jc w:val="left"/>
              <w:rPr>
                <w:rFonts w:eastAsia="Times New Roman" w:cs="Arial"/>
                <w:b w:val="0"/>
                <w:szCs w:val="20"/>
                <w:lang w:eastAsia="fr-LU"/>
              </w:rPr>
            </w:pPr>
            <w:r w:rsidRPr="00196B23">
              <w:rPr>
                <w:rFonts w:eastAsia="Times New Roman" w:cs="Arial"/>
                <w:b w:val="0"/>
                <w:szCs w:val="20"/>
                <w:lang w:eastAsia="fr-LU"/>
              </w:rPr>
              <w:t>Belgi</w:t>
            </w:r>
            <w:r w:rsidR="00393D31">
              <w:rPr>
                <w:rFonts w:eastAsia="Times New Roman" w:cs="Arial"/>
                <w:b w:val="0"/>
                <w:szCs w:val="20"/>
                <w:lang w:eastAsia="fr-LU"/>
              </w:rPr>
              <w:t>um</w:t>
            </w:r>
          </w:p>
        </w:tc>
        <w:tc>
          <w:tcPr>
            <w:tcW w:w="1559"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393D31">
              <w:rPr>
                <w:rFonts w:cs="Arial"/>
                <w:szCs w:val="20"/>
              </w:rPr>
              <w:t>70.</w:t>
            </w:r>
            <w:r>
              <w:rPr>
                <w:rFonts w:cs="Arial"/>
                <w:szCs w:val="20"/>
              </w:rPr>
              <w:t>474</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r w:rsidR="004A6A38">
              <w:rPr>
                <w:rFonts w:cs="Arial"/>
                <w:szCs w:val="20"/>
              </w:rPr>
              <w:t>3%</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173</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r w:rsidR="004A6A38">
              <w:rPr>
                <w:rFonts w:cs="Arial"/>
                <w:szCs w:val="20"/>
              </w:rPr>
              <w:t>2%</w:t>
            </w:r>
          </w:p>
        </w:tc>
        <w:tc>
          <w:tcPr>
            <w:tcW w:w="1300"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981</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w:t>
            </w:r>
            <w:r w:rsidR="004A6A38">
              <w:rPr>
                <w:rFonts w:cs="Arial"/>
                <w:szCs w:val="20"/>
              </w:rPr>
              <w:t>7%</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Netherlands</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93.</w:t>
            </w:r>
            <w:r w:rsidR="004A6A38">
              <w:rPr>
                <w:rFonts w:cs="Arial"/>
                <w:szCs w:val="20"/>
              </w:rPr>
              <w:t>702</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4A6A38">
              <w:rPr>
                <w:rFonts w:cs="Arial"/>
                <w:szCs w:val="20"/>
              </w:rPr>
              <w:t>4%</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52</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3%</w:t>
            </w:r>
          </w:p>
        </w:tc>
        <w:tc>
          <w:tcPr>
            <w:tcW w:w="1300"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240</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6%</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Luxembourg</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83.</w:t>
            </w:r>
            <w:r w:rsidR="004A6A38">
              <w:rPr>
                <w:rFonts w:cs="Arial"/>
                <w:szCs w:val="20"/>
              </w:rPr>
              <w:t>394</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4A6A38">
              <w:rPr>
                <w:rFonts w:cs="Arial"/>
                <w:szCs w:val="20"/>
              </w:rPr>
              <w:t>1%</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232</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w:t>
            </w:r>
            <w:r w:rsidR="004A6A38">
              <w:rPr>
                <w:rFonts w:cs="Arial"/>
                <w:szCs w:val="20"/>
              </w:rPr>
              <w:t>7%</w:t>
            </w:r>
          </w:p>
        </w:tc>
        <w:tc>
          <w:tcPr>
            <w:tcW w:w="1300"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655</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r w:rsidR="004A6A38">
              <w:rPr>
                <w:rFonts w:cs="Arial"/>
                <w:szCs w:val="20"/>
              </w:rPr>
              <w:t>5%</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Den</w:t>
            </w:r>
            <w:r w:rsidR="004A6A38" w:rsidRPr="00196B23">
              <w:rPr>
                <w:rFonts w:eastAsia="Times New Roman" w:cs="Arial"/>
                <w:b w:val="0"/>
                <w:szCs w:val="20"/>
                <w:lang w:eastAsia="fr-LU"/>
              </w:rPr>
              <w:t>mark</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79.</w:t>
            </w:r>
            <w:r w:rsidR="004A6A38">
              <w:rPr>
                <w:rFonts w:cs="Arial"/>
                <w:szCs w:val="20"/>
              </w:rPr>
              <w:t>750</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4A6A38">
              <w:rPr>
                <w:rFonts w:cs="Arial"/>
                <w:szCs w:val="20"/>
              </w:rPr>
              <w:t>0%</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6%</w:t>
            </w:r>
          </w:p>
        </w:tc>
        <w:tc>
          <w:tcPr>
            <w:tcW w:w="1300"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186</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3%</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196B23" w:rsidRDefault="00393D31" w:rsidP="004A6A38">
            <w:pPr>
              <w:spacing w:before="60" w:after="60" w:line="240" w:lineRule="auto"/>
              <w:jc w:val="left"/>
              <w:rPr>
                <w:rFonts w:eastAsia="Times New Roman" w:cs="Arial"/>
                <w:b w:val="0"/>
                <w:szCs w:val="20"/>
                <w:lang w:eastAsia="fr-LU"/>
              </w:rPr>
            </w:pPr>
            <w:r>
              <w:rPr>
                <w:rFonts w:eastAsia="Times New Roman" w:cs="Arial"/>
                <w:b w:val="0"/>
                <w:szCs w:val="20"/>
                <w:lang w:eastAsia="fr-LU"/>
              </w:rPr>
              <w:t>Others</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249.</w:t>
            </w:r>
            <w:r w:rsidR="004A6A38">
              <w:rPr>
                <w:rFonts w:cs="Arial"/>
                <w:szCs w:val="20"/>
              </w:rPr>
              <w:t>890</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w:t>
            </w:r>
            <w:r w:rsidR="004A6A38">
              <w:rPr>
                <w:rFonts w:cs="Arial"/>
                <w:szCs w:val="20"/>
              </w:rPr>
              <w:t>3%</w:t>
            </w:r>
          </w:p>
        </w:tc>
        <w:tc>
          <w:tcPr>
            <w:tcW w:w="1126" w:type="dxa"/>
            <w:tcBorders>
              <w:left w:val="nil"/>
              <w:right w:val="nil"/>
            </w:tcBorders>
            <w:noWrap/>
            <w:vAlign w:val="center"/>
          </w:tcPr>
          <w:p w:rsidR="004A6A38" w:rsidRDefault="004A6A38"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689</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16.</w:t>
            </w:r>
            <w:r w:rsidR="004A6A38">
              <w:rPr>
                <w:rFonts w:cs="Arial"/>
                <w:szCs w:val="20"/>
              </w:rPr>
              <w:t>7%</w:t>
            </w:r>
          </w:p>
        </w:tc>
        <w:tc>
          <w:tcPr>
            <w:tcW w:w="130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844</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w:t>
            </w:r>
            <w:r w:rsidR="004A6A38">
              <w:rPr>
                <w:rFonts w:cs="Arial"/>
                <w:szCs w:val="20"/>
              </w:rPr>
              <w:t>5%</w:t>
            </w:r>
          </w:p>
        </w:tc>
      </w:tr>
      <w:tr w:rsidR="004A6A38" w:rsidRPr="00B04AFF" w:rsidTr="00393D3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noWrap/>
            <w:vAlign w:val="center"/>
            <w:hideMark/>
          </w:tcPr>
          <w:p w:rsidR="004A6A38" w:rsidRPr="006973A4" w:rsidRDefault="00393D31" w:rsidP="004A6A38">
            <w:pPr>
              <w:spacing w:before="60" w:after="60" w:line="240" w:lineRule="auto"/>
              <w:jc w:val="left"/>
              <w:rPr>
                <w:rFonts w:eastAsia="Times New Roman" w:cs="Arial"/>
                <w:szCs w:val="20"/>
                <w:lang w:eastAsia="fr-LU"/>
              </w:rPr>
            </w:pPr>
            <w:r>
              <w:rPr>
                <w:rFonts w:eastAsia="Times New Roman" w:cs="Arial"/>
                <w:szCs w:val="20"/>
                <w:lang w:eastAsia="fr-LU"/>
              </w:rPr>
              <w:t>TOTAL</w:t>
            </w:r>
          </w:p>
        </w:tc>
        <w:tc>
          <w:tcPr>
            <w:tcW w:w="1559"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3,987.</w:t>
            </w:r>
            <w:r w:rsidR="004A6A38">
              <w:rPr>
                <w:rFonts w:cs="Arial"/>
                <w:b/>
                <w:bCs/>
                <w:szCs w:val="20"/>
              </w:rPr>
              <w:t>328</w:t>
            </w:r>
          </w:p>
        </w:tc>
        <w:tc>
          <w:tcPr>
            <w:tcW w:w="992"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100.</w:t>
            </w:r>
            <w:r w:rsidR="004A6A38">
              <w:rPr>
                <w:rFonts w:cs="Arial"/>
                <w:b/>
                <w:bCs/>
                <w:szCs w:val="20"/>
              </w:rPr>
              <w:t>0%</w:t>
            </w:r>
          </w:p>
        </w:tc>
        <w:tc>
          <w:tcPr>
            <w:tcW w:w="1126"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4,</w:t>
            </w:r>
            <w:r w:rsidR="004A6A38">
              <w:rPr>
                <w:rFonts w:cs="Arial"/>
                <w:b/>
                <w:bCs/>
                <w:szCs w:val="20"/>
              </w:rPr>
              <w:t>118</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100.</w:t>
            </w:r>
            <w:r w:rsidR="004A6A38">
              <w:rPr>
                <w:rFonts w:cs="Arial"/>
                <w:b/>
                <w:bCs/>
                <w:szCs w:val="20"/>
              </w:rPr>
              <w:t>0%</w:t>
            </w:r>
          </w:p>
        </w:tc>
        <w:tc>
          <w:tcPr>
            <w:tcW w:w="130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14,</w:t>
            </w:r>
            <w:r w:rsidR="004A6A38">
              <w:rPr>
                <w:rFonts w:cs="Arial"/>
                <w:b/>
                <w:bCs/>
                <w:szCs w:val="20"/>
              </w:rPr>
              <w:t>698</w:t>
            </w:r>
          </w:p>
        </w:tc>
        <w:tc>
          <w:tcPr>
            <w:tcW w:w="960" w:type="dxa"/>
            <w:tcBorders>
              <w:left w:val="nil"/>
              <w:right w:val="nil"/>
            </w:tcBorders>
            <w:noWrap/>
            <w:vAlign w:val="center"/>
          </w:tcPr>
          <w:p w:rsidR="004A6A38" w:rsidRDefault="00393D31" w:rsidP="004A6A38">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100.</w:t>
            </w:r>
            <w:r w:rsidR="004A6A38">
              <w:rPr>
                <w:rFonts w:cs="Arial"/>
                <w:b/>
                <w:bCs/>
                <w:szCs w:val="20"/>
              </w:rPr>
              <w:t>0%</w:t>
            </w:r>
          </w:p>
        </w:tc>
      </w:tr>
    </w:tbl>
    <w:p w:rsidR="00C05B20" w:rsidRDefault="00C05B20" w:rsidP="00293604"/>
    <w:p w:rsidR="00460449" w:rsidRPr="00EF6849" w:rsidRDefault="00393D31" w:rsidP="00B54CA0">
      <w:pPr>
        <w:pStyle w:val="Heading3"/>
        <w:rPr>
          <w:lang w:val="en-US"/>
        </w:rPr>
      </w:pPr>
      <w:r w:rsidRPr="00EF6849">
        <w:rPr>
          <w:lang w:val="en-US"/>
        </w:rPr>
        <w:t>Breakdown of UCI fund units registered in Luxembourg by reference currency</w:t>
      </w:r>
    </w:p>
    <w:tbl>
      <w:tblPr>
        <w:tblStyle w:val="GridTable1Light-Accent1"/>
        <w:tblW w:w="7143" w:type="dxa"/>
        <w:tblLook w:val="04A0" w:firstRow="1" w:lastRow="0" w:firstColumn="1" w:lastColumn="0" w:noHBand="0" w:noVBand="1"/>
      </w:tblPr>
      <w:tblGrid>
        <w:gridCol w:w="1095"/>
        <w:gridCol w:w="1599"/>
        <w:gridCol w:w="1433"/>
        <w:gridCol w:w="1591"/>
        <w:gridCol w:w="1425"/>
      </w:tblGrid>
      <w:tr w:rsidR="00B04AFF" w:rsidRPr="00B04AFF" w:rsidTr="00B04AF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vAlign w:val="center"/>
            <w:hideMark/>
          </w:tcPr>
          <w:p w:rsidR="00B04AFF" w:rsidRPr="00B04AFF" w:rsidRDefault="00EF6849" w:rsidP="00B04AFF">
            <w:pPr>
              <w:spacing w:before="0" w:after="0" w:line="240" w:lineRule="auto"/>
              <w:jc w:val="left"/>
              <w:rPr>
                <w:rFonts w:eastAsia="Times New Roman" w:cs="Arial"/>
                <w:szCs w:val="20"/>
                <w:lang w:eastAsia="fr-LU"/>
              </w:rPr>
            </w:pPr>
            <w:r>
              <w:rPr>
                <w:rFonts w:eastAsia="Times New Roman" w:cs="Arial"/>
                <w:szCs w:val="20"/>
                <w:lang w:eastAsia="fr-LU"/>
              </w:rPr>
              <w:t>Currency</w:t>
            </w:r>
          </w:p>
        </w:tc>
        <w:tc>
          <w:tcPr>
            <w:tcW w:w="1599" w:type="dxa"/>
            <w:tcBorders>
              <w:left w:val="nil"/>
              <w:right w:val="nil"/>
            </w:tcBorders>
            <w:vAlign w:val="center"/>
            <w:hideMark/>
          </w:tcPr>
          <w:p w:rsidR="00B04AFF" w:rsidRPr="00B04AFF" w:rsidRDefault="00EF6849" w:rsidP="008446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Net assets</w:t>
            </w:r>
            <w:r w:rsidR="00B04AFF" w:rsidRPr="00B04AFF">
              <w:rPr>
                <w:rFonts w:eastAsia="Times New Roman" w:cs="Arial"/>
                <w:szCs w:val="20"/>
                <w:lang w:eastAsia="fr-LU"/>
              </w:rPr>
              <w:t xml:space="preserve"> </w:t>
            </w:r>
            <w:r w:rsidR="00183AFE">
              <w:rPr>
                <w:rFonts w:eastAsia="Times New Roman" w:cs="Arial"/>
                <w:szCs w:val="20"/>
                <w:lang w:eastAsia="fr-LU"/>
              </w:rPr>
              <w:br/>
            </w:r>
            <w:r w:rsidR="00844643">
              <w:rPr>
                <w:rFonts w:eastAsia="Times New Roman" w:cs="Arial"/>
                <w:szCs w:val="20"/>
                <w:lang w:eastAsia="fr-LU"/>
              </w:rPr>
              <w:t>(i</w:t>
            </w:r>
            <w:r w:rsidR="00B04AFF" w:rsidRPr="00B04AFF">
              <w:rPr>
                <w:rFonts w:eastAsia="Times New Roman" w:cs="Arial"/>
                <w:szCs w:val="20"/>
                <w:lang w:eastAsia="fr-LU"/>
              </w:rPr>
              <w:t xml:space="preserve">n </w:t>
            </w:r>
            <w:r w:rsidR="00844643">
              <w:rPr>
                <w:rFonts w:eastAsia="Times New Roman" w:cs="Arial"/>
                <w:szCs w:val="20"/>
                <w:lang w:eastAsia="fr-LU"/>
              </w:rPr>
              <w:t>bn</w:t>
            </w:r>
            <w:r w:rsidR="00B04AFF" w:rsidRPr="00B04AFF">
              <w:rPr>
                <w:rFonts w:eastAsia="Times New Roman" w:cs="Arial"/>
                <w:szCs w:val="20"/>
                <w:lang w:eastAsia="fr-LU"/>
              </w:rPr>
              <w:t xml:space="preserve"> </w:t>
            </w:r>
            <w:r w:rsidR="00844643">
              <w:rPr>
                <w:rFonts w:eastAsia="Times New Roman" w:cs="Arial"/>
                <w:szCs w:val="20"/>
                <w:lang w:eastAsia="fr-LU"/>
              </w:rPr>
              <w:t>EUR</w:t>
            </w:r>
            <w:r w:rsidR="00B04AFF" w:rsidRPr="00B04AFF">
              <w:rPr>
                <w:rFonts w:eastAsia="Times New Roman" w:cs="Arial"/>
                <w:szCs w:val="20"/>
                <w:lang w:eastAsia="fr-LU"/>
              </w:rPr>
              <w:t>)</w:t>
            </w:r>
          </w:p>
        </w:tc>
        <w:tc>
          <w:tcPr>
            <w:tcW w:w="1433" w:type="dxa"/>
            <w:tcBorders>
              <w:left w:val="nil"/>
              <w:right w:val="nil"/>
            </w:tcBorders>
            <w:vAlign w:val="center"/>
            <w:hideMark/>
          </w:tcPr>
          <w:p w:rsidR="00B04AFF" w:rsidRPr="00B04AFF" w:rsidRDefault="00844643" w:rsidP="00B04AF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i</w:t>
            </w:r>
            <w:r w:rsidR="00B04AFF" w:rsidRPr="00B04AFF">
              <w:rPr>
                <w:rFonts w:eastAsia="Times New Roman" w:cs="Arial"/>
                <w:szCs w:val="20"/>
                <w:lang w:eastAsia="fr-LU"/>
              </w:rPr>
              <w:t>n %</w:t>
            </w:r>
          </w:p>
        </w:tc>
        <w:tc>
          <w:tcPr>
            <w:tcW w:w="1591" w:type="dxa"/>
            <w:tcBorders>
              <w:left w:val="nil"/>
              <w:right w:val="nil"/>
            </w:tcBorders>
            <w:vAlign w:val="center"/>
            <w:hideMark/>
          </w:tcPr>
          <w:p w:rsidR="00B04AFF" w:rsidRPr="00B04AFF" w:rsidRDefault="00844643" w:rsidP="008446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Nu</w:t>
            </w:r>
            <w:r w:rsidR="00B04AFF" w:rsidRPr="00B04AFF">
              <w:rPr>
                <w:rFonts w:eastAsia="Times New Roman" w:cs="Arial"/>
                <w:szCs w:val="20"/>
                <w:lang w:eastAsia="fr-LU"/>
              </w:rPr>
              <w:t>mb</w:t>
            </w:r>
            <w:r>
              <w:rPr>
                <w:rFonts w:eastAsia="Times New Roman" w:cs="Arial"/>
                <w:szCs w:val="20"/>
                <w:lang w:eastAsia="fr-LU"/>
              </w:rPr>
              <w:t>er of</w:t>
            </w:r>
            <w:r w:rsidR="00B04AFF" w:rsidRPr="00B04AFF">
              <w:rPr>
                <w:rFonts w:eastAsia="Times New Roman" w:cs="Arial"/>
                <w:szCs w:val="20"/>
                <w:lang w:eastAsia="fr-LU"/>
              </w:rPr>
              <w:t xml:space="preserve"> </w:t>
            </w:r>
            <w:r>
              <w:rPr>
                <w:rFonts w:eastAsia="Times New Roman" w:cs="Arial"/>
                <w:szCs w:val="20"/>
                <w:lang w:eastAsia="fr-LU"/>
              </w:rPr>
              <w:t>fund units</w:t>
            </w:r>
          </w:p>
        </w:tc>
        <w:tc>
          <w:tcPr>
            <w:tcW w:w="1425" w:type="dxa"/>
            <w:tcBorders>
              <w:left w:val="nil"/>
              <w:right w:val="nil"/>
            </w:tcBorders>
            <w:vAlign w:val="center"/>
            <w:hideMark/>
          </w:tcPr>
          <w:p w:rsidR="00B04AFF" w:rsidRPr="00B04AFF" w:rsidRDefault="00844643" w:rsidP="00B04AF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fr-LU"/>
              </w:rPr>
            </w:pPr>
            <w:r>
              <w:rPr>
                <w:rFonts w:eastAsia="Times New Roman" w:cs="Arial"/>
                <w:szCs w:val="20"/>
                <w:lang w:eastAsia="fr-LU"/>
              </w:rPr>
              <w:t>i</w:t>
            </w:r>
            <w:r w:rsidR="00B04AFF" w:rsidRPr="00B04AFF">
              <w:rPr>
                <w:rFonts w:eastAsia="Times New Roman" w:cs="Arial"/>
                <w:szCs w:val="20"/>
                <w:lang w:eastAsia="fr-LU"/>
              </w:rPr>
              <w:t>n %</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AUD</w:t>
            </w:r>
          </w:p>
        </w:tc>
        <w:tc>
          <w:tcPr>
            <w:tcW w:w="1599" w:type="dxa"/>
            <w:tcBorders>
              <w:left w:val="nil"/>
              <w:right w:val="nil"/>
            </w:tcBorders>
            <w:noWrap/>
            <w:vAlign w:val="center"/>
          </w:tcPr>
          <w:p w:rsidR="004A6A38" w:rsidRDefault="00844643" w:rsidP="004A6A3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0"/>
                <w:lang w:eastAsia="fr-LU"/>
              </w:rPr>
            </w:pPr>
            <w:r>
              <w:rPr>
                <w:rFonts w:cs="Arial"/>
                <w:szCs w:val="20"/>
              </w:rPr>
              <w:t>5.</w:t>
            </w:r>
            <w:r w:rsidR="004A6A38">
              <w:rPr>
                <w:rFonts w:cs="Arial"/>
                <w:szCs w:val="20"/>
              </w:rPr>
              <w:t>425</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136%</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197%</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CAD</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607</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040%</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26</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177%</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CHF</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49.</w:t>
            </w:r>
            <w:r w:rsidR="004A6A38">
              <w:rPr>
                <w:rFonts w:cs="Arial"/>
                <w:szCs w:val="20"/>
              </w:rPr>
              <w:t>857</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250%</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292</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987%</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CNH</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570</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039%</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23</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156%</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CNY</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089</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002%</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021%</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CZK</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393</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035%</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66</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449%</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DKK</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4A6A38">
              <w:rPr>
                <w:rFonts w:cs="Arial"/>
                <w:szCs w:val="20"/>
              </w:rPr>
              <w:t>040</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051%</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11</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075%</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EUR</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2,184.</w:t>
            </w:r>
            <w:r w:rsidR="004A6A38">
              <w:rPr>
                <w:rFonts w:cs="Arial"/>
                <w:szCs w:val="20"/>
              </w:rPr>
              <w:t>349</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54.</w:t>
            </w:r>
            <w:r w:rsidR="004A6A38">
              <w:rPr>
                <w:rFonts w:cs="Arial"/>
                <w:szCs w:val="20"/>
              </w:rPr>
              <w:t>782%</w:t>
            </w:r>
          </w:p>
        </w:tc>
        <w:tc>
          <w:tcPr>
            <w:tcW w:w="1591"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w:t>
            </w:r>
            <w:r w:rsidR="004A6A38">
              <w:rPr>
                <w:rFonts w:cs="Arial"/>
                <w:szCs w:val="20"/>
              </w:rPr>
              <w:t>414</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64.</w:t>
            </w:r>
            <w:r w:rsidR="004A6A38">
              <w:rPr>
                <w:rFonts w:cs="Arial"/>
                <w:szCs w:val="20"/>
              </w:rPr>
              <w:t>050%</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GBP</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108.</w:t>
            </w:r>
            <w:r w:rsidR="004A6A38">
              <w:rPr>
                <w:rFonts w:cs="Arial"/>
                <w:szCs w:val="20"/>
              </w:rPr>
              <w:t>870</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4A6A38">
              <w:rPr>
                <w:rFonts w:cs="Arial"/>
                <w:szCs w:val="20"/>
              </w:rPr>
              <w:t>730%</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330</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4A6A38">
              <w:rPr>
                <w:rFonts w:cs="Arial"/>
                <w:szCs w:val="20"/>
              </w:rPr>
              <w:t>245%</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HKD</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r w:rsidR="004A6A38">
              <w:rPr>
                <w:rFonts w:cs="Arial"/>
                <w:szCs w:val="20"/>
              </w:rPr>
              <w:t>641</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116%</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068%</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HUF</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341</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009%</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34</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231%</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JPY</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64.</w:t>
            </w:r>
            <w:r w:rsidR="004A6A38">
              <w:rPr>
                <w:rFonts w:cs="Arial"/>
                <w:szCs w:val="20"/>
              </w:rPr>
              <w:t>984</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630%</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212</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442%</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NOK</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w:t>
            </w:r>
            <w:r w:rsidR="004A6A38">
              <w:rPr>
                <w:rFonts w:cs="Arial"/>
                <w:szCs w:val="20"/>
              </w:rPr>
              <w:t>187</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130%</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30</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204%</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NZD</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714</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018%</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034%</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PLN</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471</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012%</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23</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156%</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RON</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517</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013%</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034%</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SEK</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48.</w:t>
            </w:r>
            <w:r w:rsidR="004A6A38">
              <w:rPr>
                <w:rFonts w:cs="Arial"/>
                <w:szCs w:val="20"/>
              </w:rPr>
              <w:t>870</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226%</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181</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w:t>
            </w:r>
            <w:r w:rsidR="004A6A38">
              <w:rPr>
                <w:rFonts w:cs="Arial"/>
                <w:szCs w:val="20"/>
              </w:rPr>
              <w:t>231%</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SGD</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381</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010%</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021%</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TRY</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079</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002%</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021%</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USD</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1,505.</w:t>
            </w:r>
            <w:r w:rsidR="004A6A38">
              <w:rPr>
                <w:rFonts w:cs="Arial"/>
                <w:szCs w:val="20"/>
              </w:rPr>
              <w:t>915</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37.</w:t>
            </w:r>
            <w:r w:rsidR="004A6A38">
              <w:rPr>
                <w:rFonts w:cs="Arial"/>
                <w:szCs w:val="20"/>
              </w:rPr>
              <w:t>768%</w:t>
            </w:r>
          </w:p>
        </w:tc>
        <w:tc>
          <w:tcPr>
            <w:tcW w:w="1591" w:type="dxa"/>
            <w:tcBorders>
              <w:left w:val="nil"/>
              <w:right w:val="nil"/>
            </w:tcBorders>
            <w:noWrap/>
            <w:vAlign w:val="center"/>
          </w:tcPr>
          <w:p w:rsidR="004A6A38" w:rsidRDefault="004A6A38" w:rsidP="00844643">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r w:rsidR="00844643">
              <w:rPr>
                <w:rFonts w:cs="Arial"/>
                <w:szCs w:val="20"/>
              </w:rPr>
              <w:t>,</w:t>
            </w:r>
            <w:r>
              <w:rPr>
                <w:rFonts w:cs="Arial"/>
                <w:szCs w:val="20"/>
              </w:rPr>
              <w:t>996</w:t>
            </w:r>
          </w:p>
        </w:tc>
        <w:tc>
          <w:tcPr>
            <w:tcW w:w="1425"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r w:rsidR="00844643">
              <w:rPr>
                <w:rFonts w:cs="Arial"/>
                <w:szCs w:val="20"/>
              </w:rPr>
              <w:t>7.</w:t>
            </w:r>
            <w:r>
              <w:rPr>
                <w:rFonts w:cs="Arial"/>
                <w:szCs w:val="20"/>
              </w:rPr>
              <w:t>187%</w:t>
            </w:r>
          </w:p>
        </w:tc>
      </w:tr>
      <w:tr w:rsidR="004A6A38" w:rsidRPr="00B04AFF"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433D8">
            <w:pPr>
              <w:spacing w:before="0" w:after="0"/>
              <w:ind w:right="138"/>
              <w:jc w:val="center"/>
              <w:rPr>
                <w:b w:val="0"/>
              </w:rPr>
            </w:pPr>
            <w:r w:rsidRPr="00FD3E85">
              <w:rPr>
                <w:b w:val="0"/>
              </w:rPr>
              <w:t>ZAR</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028</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001%</w:t>
            </w:r>
          </w:p>
        </w:tc>
        <w:tc>
          <w:tcPr>
            <w:tcW w:w="1591" w:type="dxa"/>
            <w:tcBorders>
              <w:left w:val="nil"/>
              <w:right w:val="nil"/>
            </w:tcBorders>
            <w:noWrap/>
            <w:vAlign w:val="center"/>
          </w:tcPr>
          <w:p w:rsidR="004A6A38" w:rsidRDefault="004A6A38"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r w:rsidR="004A6A38">
              <w:rPr>
                <w:rFonts w:cs="Arial"/>
                <w:szCs w:val="20"/>
              </w:rPr>
              <w:t>014%</w:t>
            </w:r>
          </w:p>
        </w:tc>
      </w:tr>
      <w:tr w:rsidR="004A6A38" w:rsidRPr="006973A4" w:rsidTr="000F3F2E">
        <w:trPr>
          <w:trHeight w:val="255"/>
        </w:trPr>
        <w:tc>
          <w:tcPr>
            <w:cnfStyle w:val="001000000000" w:firstRow="0" w:lastRow="0" w:firstColumn="1" w:lastColumn="0" w:oddVBand="0" w:evenVBand="0" w:oddHBand="0" w:evenHBand="0" w:firstRowFirstColumn="0" w:firstRowLastColumn="0" w:lastRowFirstColumn="0" w:lastRowLastColumn="0"/>
            <w:tcW w:w="1095" w:type="dxa"/>
            <w:tcBorders>
              <w:left w:val="nil"/>
              <w:right w:val="nil"/>
            </w:tcBorders>
            <w:noWrap/>
            <w:hideMark/>
          </w:tcPr>
          <w:p w:rsidR="004A6A38" w:rsidRPr="00FD3E85" w:rsidRDefault="004A6A38" w:rsidP="00A01F8B">
            <w:pPr>
              <w:spacing w:before="0" w:after="0"/>
              <w:ind w:right="138"/>
              <w:jc w:val="center"/>
            </w:pPr>
            <w:r w:rsidRPr="00FD3E85">
              <w:t>T</w:t>
            </w:r>
            <w:r w:rsidR="00A01F8B">
              <w:t>OTAL</w:t>
            </w:r>
          </w:p>
        </w:tc>
        <w:tc>
          <w:tcPr>
            <w:tcW w:w="1599"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3,987.</w:t>
            </w:r>
            <w:r w:rsidR="004A6A38">
              <w:rPr>
                <w:rFonts w:cs="Arial"/>
                <w:b/>
                <w:bCs/>
                <w:szCs w:val="20"/>
              </w:rPr>
              <w:t>328</w:t>
            </w:r>
          </w:p>
        </w:tc>
        <w:tc>
          <w:tcPr>
            <w:tcW w:w="1433"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100.</w:t>
            </w:r>
            <w:r w:rsidR="004A6A38">
              <w:rPr>
                <w:rFonts w:cs="Arial"/>
                <w:b/>
                <w:bCs/>
                <w:szCs w:val="20"/>
              </w:rPr>
              <w:t>000%</w:t>
            </w:r>
          </w:p>
        </w:tc>
        <w:tc>
          <w:tcPr>
            <w:tcW w:w="1591"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14,</w:t>
            </w:r>
            <w:r w:rsidR="004A6A38">
              <w:rPr>
                <w:rFonts w:cs="Arial"/>
                <w:b/>
                <w:bCs/>
                <w:szCs w:val="20"/>
              </w:rPr>
              <w:t>698</w:t>
            </w:r>
          </w:p>
        </w:tc>
        <w:tc>
          <w:tcPr>
            <w:tcW w:w="1425" w:type="dxa"/>
            <w:tcBorders>
              <w:left w:val="nil"/>
              <w:right w:val="nil"/>
            </w:tcBorders>
            <w:noWrap/>
            <w:vAlign w:val="center"/>
          </w:tcPr>
          <w:p w:rsidR="004A6A38" w:rsidRDefault="00844643" w:rsidP="004A6A38">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szCs w:val="20"/>
              </w:rPr>
            </w:pPr>
            <w:r>
              <w:rPr>
                <w:rFonts w:cs="Arial"/>
                <w:b/>
                <w:bCs/>
                <w:szCs w:val="20"/>
              </w:rPr>
              <w:t>100.</w:t>
            </w:r>
            <w:r w:rsidR="004A6A38">
              <w:rPr>
                <w:rFonts w:cs="Arial"/>
                <w:b/>
                <w:bCs/>
                <w:szCs w:val="20"/>
              </w:rPr>
              <w:t>000%</w:t>
            </w:r>
          </w:p>
        </w:tc>
      </w:tr>
    </w:tbl>
    <w:p w:rsidR="00C05B20" w:rsidRDefault="00C05B20" w:rsidP="00C05B20"/>
    <w:p w:rsidR="00460449" w:rsidRPr="006A7147" w:rsidRDefault="00844643" w:rsidP="009E772E">
      <w:pPr>
        <w:pStyle w:val="Heading2"/>
      </w:pPr>
      <w:r>
        <w:lastRenderedPageBreak/>
        <w:t>Pension funds</w:t>
      </w:r>
    </w:p>
    <w:p w:rsidR="00605528" w:rsidRPr="00C848D2" w:rsidRDefault="00C848D2" w:rsidP="00605528">
      <w:pPr>
        <w:spacing w:before="100" w:beforeAutospacing="1" w:after="120"/>
        <w:rPr>
          <w:lang w:val="en-US"/>
        </w:rPr>
      </w:pPr>
      <w:r w:rsidRPr="00C848D2">
        <w:rPr>
          <w:lang w:val="en-US"/>
        </w:rPr>
        <w:t xml:space="preserve">As at 10 October 2017, </w:t>
      </w:r>
      <w:r w:rsidRPr="00C848D2">
        <w:rPr>
          <w:b/>
          <w:lang w:val="en-US"/>
        </w:rPr>
        <w:t>13 pension funds</w:t>
      </w:r>
      <w:r w:rsidRPr="00C848D2">
        <w:rPr>
          <w:lang w:val="en-US"/>
        </w:rPr>
        <w:t xml:space="preserve"> in the form of pension savings companies with variable capital (SEPCAVs) and pension savings associations (ASSEPs) were registered on the official list of pension funds subject to the Law of 13 July 2005.</w:t>
      </w:r>
      <w:r w:rsidR="00605528" w:rsidRPr="00C848D2">
        <w:rPr>
          <w:lang w:val="en-US"/>
        </w:rPr>
        <w:t xml:space="preserve"> </w:t>
      </w:r>
    </w:p>
    <w:p w:rsidR="00460449" w:rsidRPr="00C848D2" w:rsidRDefault="00C848D2" w:rsidP="00605528">
      <w:pPr>
        <w:rPr>
          <w:lang w:val="en-US"/>
        </w:rPr>
      </w:pPr>
      <w:r w:rsidRPr="00C848D2">
        <w:rPr>
          <w:lang w:val="en-US"/>
        </w:rPr>
        <w:t xml:space="preserve">On the same date, the number of professionals authorised to act as </w:t>
      </w:r>
      <w:r w:rsidRPr="00C848D2">
        <w:rPr>
          <w:b/>
          <w:lang w:val="en-US"/>
        </w:rPr>
        <w:t>liability managers</w:t>
      </w:r>
      <w:r w:rsidRPr="00C848D2">
        <w:rPr>
          <w:lang w:val="en-US"/>
        </w:rPr>
        <w:t xml:space="preserve"> for pension funds subject to the Law of 13 July 2005 amounted to </w:t>
      </w:r>
      <w:r w:rsidRPr="00C848D2">
        <w:rPr>
          <w:b/>
          <w:lang w:val="en-US"/>
        </w:rPr>
        <w:t>18</w:t>
      </w:r>
      <w:r w:rsidRPr="00C848D2">
        <w:rPr>
          <w:lang w:val="en-US"/>
        </w:rPr>
        <w:t>.</w:t>
      </w:r>
    </w:p>
    <w:p w:rsidR="00605528" w:rsidRPr="00C848D2" w:rsidRDefault="00605528" w:rsidP="00605528">
      <w:pPr>
        <w:rPr>
          <w:lang w:val="en-US"/>
        </w:rPr>
      </w:pPr>
    </w:p>
    <w:p w:rsidR="00460449" w:rsidRPr="00C848D2" w:rsidRDefault="00C848D2" w:rsidP="009E772E">
      <w:pPr>
        <w:pStyle w:val="Heading2"/>
        <w:rPr>
          <w:lang w:val="en-US"/>
        </w:rPr>
      </w:pPr>
      <w:r w:rsidRPr="00C848D2">
        <w:rPr>
          <w:lang w:val="en-US"/>
        </w:rPr>
        <w:t>Securitisation undertakings</w:t>
      </w:r>
    </w:p>
    <w:p w:rsidR="00460449" w:rsidRPr="00C848D2" w:rsidRDefault="00C848D2" w:rsidP="006A7147">
      <w:pPr>
        <w:rPr>
          <w:lang w:val="en-US"/>
        </w:rPr>
      </w:pPr>
      <w:r w:rsidRPr="00C848D2">
        <w:rPr>
          <w:lang w:val="en-US"/>
        </w:rPr>
        <w:t xml:space="preserve">The number of </w:t>
      </w:r>
      <w:r w:rsidRPr="00C848D2">
        <w:rPr>
          <w:b/>
          <w:lang w:val="en-US"/>
        </w:rPr>
        <w:t>securitisation undertakings authorised</w:t>
      </w:r>
      <w:r w:rsidRPr="00C848D2">
        <w:rPr>
          <w:lang w:val="en-US"/>
        </w:rPr>
        <w:t xml:space="preserve"> by the CSSF in accordance with the Law of 22 March 2004 on securitisation amounted to </w:t>
      </w:r>
      <w:r w:rsidRPr="00C848D2">
        <w:rPr>
          <w:b/>
          <w:lang w:val="en-US"/>
        </w:rPr>
        <w:t xml:space="preserve">34 </w:t>
      </w:r>
      <w:r w:rsidRPr="00C848D2">
        <w:rPr>
          <w:lang w:val="en-US"/>
        </w:rPr>
        <w:t>entities as at 10 October 2017.</w:t>
      </w:r>
    </w:p>
    <w:p w:rsidR="00605528" w:rsidRPr="00C848D2" w:rsidRDefault="00605528" w:rsidP="006A7147">
      <w:pPr>
        <w:rPr>
          <w:lang w:val="en-US"/>
        </w:rPr>
      </w:pPr>
    </w:p>
    <w:p w:rsidR="00460449" w:rsidRPr="00C848D2" w:rsidRDefault="00C848D2" w:rsidP="000960D0">
      <w:pPr>
        <w:pStyle w:val="Heading2"/>
        <w:rPr>
          <w:lang w:val="en-US"/>
        </w:rPr>
      </w:pPr>
      <w:r w:rsidRPr="00C848D2">
        <w:rPr>
          <w:lang w:val="en-US"/>
        </w:rPr>
        <w:t>Public oversight of the audit profession</w:t>
      </w:r>
    </w:p>
    <w:p w:rsidR="00460449" w:rsidRPr="00C848D2" w:rsidRDefault="00C848D2" w:rsidP="006A7147">
      <w:pPr>
        <w:rPr>
          <w:lang w:val="en-US"/>
        </w:rPr>
      </w:pPr>
      <w:r w:rsidRPr="00C848D2">
        <w:rPr>
          <w:lang w:val="en-US"/>
        </w:rPr>
        <w:t xml:space="preserve">The public oversight of the audit profession covered </w:t>
      </w:r>
      <w:r w:rsidRPr="00C848D2">
        <w:rPr>
          <w:b/>
          <w:lang w:val="en-US"/>
        </w:rPr>
        <w:t xml:space="preserve">59 </w:t>
      </w:r>
      <w:r w:rsidRPr="00C848D2">
        <w:rPr>
          <w:b/>
          <w:i/>
          <w:lang w:val="en-US"/>
        </w:rPr>
        <w:t>cabinets de révision agréés</w:t>
      </w:r>
      <w:r w:rsidRPr="00C848D2">
        <w:rPr>
          <w:b/>
          <w:lang w:val="en-US"/>
        </w:rPr>
        <w:t xml:space="preserve"> </w:t>
      </w:r>
      <w:r w:rsidRPr="004F7B0B">
        <w:rPr>
          <w:lang w:val="en-US"/>
        </w:rPr>
        <w:t>(approved audit firms)</w:t>
      </w:r>
      <w:r w:rsidRPr="00C848D2">
        <w:rPr>
          <w:lang w:val="en-US"/>
        </w:rPr>
        <w:t xml:space="preserve"> and </w:t>
      </w:r>
      <w:r w:rsidRPr="00C848D2">
        <w:rPr>
          <w:b/>
          <w:lang w:val="en-US"/>
        </w:rPr>
        <w:t xml:space="preserve">304 </w:t>
      </w:r>
      <w:r w:rsidRPr="00C848D2">
        <w:rPr>
          <w:b/>
          <w:i/>
          <w:lang w:val="en-US"/>
        </w:rPr>
        <w:t>réviseurs d'entreprises agréés</w:t>
      </w:r>
      <w:r w:rsidRPr="00C848D2">
        <w:rPr>
          <w:b/>
          <w:lang w:val="en-US"/>
        </w:rPr>
        <w:t xml:space="preserve"> </w:t>
      </w:r>
      <w:r w:rsidRPr="004F7B0B">
        <w:rPr>
          <w:lang w:val="en-US"/>
        </w:rPr>
        <w:t>(approved statutory auditors)</w:t>
      </w:r>
      <w:r w:rsidRPr="00C848D2">
        <w:rPr>
          <w:lang w:val="en-US"/>
        </w:rPr>
        <w:t xml:space="preserve"> as at 30 September 2017.</w:t>
      </w:r>
      <w:r w:rsidR="00BD0FB0" w:rsidRPr="00C848D2">
        <w:rPr>
          <w:lang w:val="en-US"/>
        </w:rPr>
        <w:t xml:space="preserve"> </w:t>
      </w:r>
      <w:r w:rsidRPr="00C848D2">
        <w:rPr>
          <w:lang w:val="en-US"/>
        </w:rPr>
        <w:t xml:space="preserve">The oversight also included </w:t>
      </w:r>
      <w:r w:rsidRPr="00C848D2">
        <w:rPr>
          <w:b/>
          <w:lang w:val="en-US"/>
        </w:rPr>
        <w:t>40 third-country auditors and audit firms</w:t>
      </w:r>
      <w:r w:rsidRPr="00C848D2">
        <w:rPr>
          <w:lang w:val="en-US"/>
        </w:rPr>
        <w:t xml:space="preserve"> duly registered in accordance with the Law of 23 July 2016 concerning the audit profession.</w:t>
      </w:r>
    </w:p>
    <w:p w:rsidR="00BD0FB0" w:rsidRPr="00C848D2" w:rsidRDefault="00BD0FB0" w:rsidP="006A7147">
      <w:pPr>
        <w:rPr>
          <w:lang w:val="en-US"/>
        </w:rPr>
      </w:pPr>
    </w:p>
    <w:p w:rsidR="00460449" w:rsidRPr="004F7B0B" w:rsidRDefault="004F7B0B" w:rsidP="00C05B20">
      <w:pPr>
        <w:pStyle w:val="Heading2"/>
        <w:spacing w:before="0"/>
        <w:rPr>
          <w:lang w:val="en-US"/>
        </w:rPr>
      </w:pPr>
      <w:r w:rsidRPr="004F7B0B">
        <w:rPr>
          <w:lang w:val="en-US"/>
        </w:rPr>
        <w:t>Prospectuses for securities in the event of an offer to the public or admission to trading on a regulated market (Part II and Part III, Chapter 1 of the Law on prospectuses for securities)</w:t>
      </w:r>
    </w:p>
    <w:p w:rsidR="00460449" w:rsidRPr="006A7147" w:rsidRDefault="00460449" w:rsidP="00813A21">
      <w:pPr>
        <w:pStyle w:val="Heading3"/>
      </w:pPr>
      <w:r w:rsidRPr="006A7147">
        <w:t>CSSF</w:t>
      </w:r>
      <w:r w:rsidR="004F7B0B">
        <w:t xml:space="preserve"> approvals</w:t>
      </w:r>
    </w:p>
    <w:p w:rsidR="00460449" w:rsidRPr="00CC0FBD" w:rsidRDefault="009F1EDC" w:rsidP="00346F39">
      <w:pPr>
        <w:pStyle w:val="BodyText"/>
        <w:spacing w:after="240"/>
        <w:ind w:right="74"/>
        <w:jc w:val="center"/>
        <w:rPr>
          <w:lang w:val="fr-LU"/>
        </w:rPr>
      </w:pPr>
      <w:r>
        <w:rPr>
          <w:noProof/>
          <w:lang w:val="fr-LU" w:eastAsia="fr-LU"/>
        </w:rPr>
        <w:drawing>
          <wp:inline distT="0" distB="0" distL="0" distR="0" wp14:anchorId="53DA1376">
            <wp:extent cx="4584700" cy="2755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C0FBD" w:rsidRPr="004F7B0B" w:rsidRDefault="004F7B0B" w:rsidP="00CC0FBD">
      <w:pPr>
        <w:spacing w:after="120"/>
        <w:rPr>
          <w:lang w:val="en-US"/>
        </w:rPr>
      </w:pPr>
      <w:r w:rsidRPr="004F7B0B">
        <w:rPr>
          <w:lang w:val="en-US"/>
        </w:rPr>
        <w:t>In September 2017, the CSSF approved a total of 106 documents pursuant to the Prospectus Law, which break down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439"/>
        <w:gridCol w:w="1028"/>
      </w:tblGrid>
      <w:tr w:rsidR="00CC0FBD" w:rsidRPr="00346F39" w:rsidTr="00E4772E">
        <w:trPr>
          <w:jc w:val="center"/>
        </w:trPr>
        <w:tc>
          <w:tcPr>
            <w:tcW w:w="0" w:type="auto"/>
          </w:tcPr>
          <w:p w:rsidR="00CC0FBD" w:rsidRPr="00346F39" w:rsidRDefault="004F7B0B" w:rsidP="00E4772E">
            <w:pPr>
              <w:spacing w:before="60" w:after="60"/>
            </w:pPr>
            <w:r>
              <w:t>base prospectus</w:t>
            </w:r>
            <w:r w:rsidR="00CC0FBD">
              <w:t>:</w:t>
            </w:r>
            <w:r w:rsidR="00CC0FBD" w:rsidRPr="00346F39">
              <w:t xml:space="preserve"> </w:t>
            </w:r>
          </w:p>
        </w:tc>
        <w:tc>
          <w:tcPr>
            <w:tcW w:w="0" w:type="auto"/>
          </w:tcPr>
          <w:p w:rsidR="00CC0FBD" w:rsidRPr="00346F39" w:rsidRDefault="00CC0FBD" w:rsidP="00E4772E">
            <w:pPr>
              <w:spacing w:before="60" w:after="60"/>
            </w:pPr>
            <w:r>
              <w:t>20</w:t>
            </w:r>
          </w:p>
        </w:tc>
        <w:tc>
          <w:tcPr>
            <w:tcW w:w="0" w:type="auto"/>
          </w:tcPr>
          <w:p w:rsidR="00CC0FBD" w:rsidRPr="00346F39" w:rsidRDefault="00CC0FBD" w:rsidP="008E4D30">
            <w:pPr>
              <w:spacing w:before="60" w:after="60"/>
            </w:pPr>
            <w:r w:rsidRPr="00346F39">
              <w:t>(</w:t>
            </w:r>
            <w:r>
              <w:t>18,87</w:t>
            </w:r>
            <w:r w:rsidRPr="00346F39">
              <w:t>%)</w:t>
            </w:r>
          </w:p>
        </w:tc>
      </w:tr>
      <w:tr w:rsidR="00CC0FBD" w:rsidRPr="00346F39" w:rsidTr="00E4772E">
        <w:trPr>
          <w:jc w:val="center"/>
        </w:trPr>
        <w:tc>
          <w:tcPr>
            <w:tcW w:w="0" w:type="auto"/>
          </w:tcPr>
          <w:p w:rsidR="00CC0FBD" w:rsidRPr="00346F39" w:rsidRDefault="004F7B0B" w:rsidP="00E4772E">
            <w:pPr>
              <w:spacing w:before="60" w:after="60"/>
            </w:pPr>
            <w:r>
              <w:t>other prospectuses</w:t>
            </w:r>
            <w:r w:rsidR="00CC0FBD">
              <w:t> :</w:t>
            </w:r>
          </w:p>
        </w:tc>
        <w:tc>
          <w:tcPr>
            <w:tcW w:w="0" w:type="auto"/>
          </w:tcPr>
          <w:p w:rsidR="00CC0FBD" w:rsidRPr="00346F39" w:rsidRDefault="00CC0FBD" w:rsidP="00E4772E">
            <w:pPr>
              <w:spacing w:before="60" w:after="60"/>
            </w:pPr>
            <w:r>
              <w:t>25</w:t>
            </w:r>
          </w:p>
        </w:tc>
        <w:tc>
          <w:tcPr>
            <w:tcW w:w="0" w:type="auto"/>
          </w:tcPr>
          <w:p w:rsidR="00CC0FBD" w:rsidRPr="00346F39" w:rsidRDefault="00CC0FBD" w:rsidP="008E4D30">
            <w:pPr>
              <w:spacing w:before="60" w:after="60"/>
            </w:pPr>
            <w:r w:rsidRPr="00346F39">
              <w:t>(</w:t>
            </w:r>
            <w:r>
              <w:t>23,58</w:t>
            </w:r>
            <w:r w:rsidRPr="00346F39">
              <w:t>%)</w:t>
            </w:r>
          </w:p>
        </w:tc>
      </w:tr>
      <w:tr w:rsidR="00CC0FBD" w:rsidRPr="00346F39" w:rsidTr="00E4772E">
        <w:trPr>
          <w:jc w:val="center"/>
        </w:trPr>
        <w:tc>
          <w:tcPr>
            <w:tcW w:w="0" w:type="auto"/>
          </w:tcPr>
          <w:p w:rsidR="00CC0FBD" w:rsidRPr="00346F39" w:rsidRDefault="004F7B0B" w:rsidP="00E4772E">
            <w:pPr>
              <w:spacing w:before="60" w:after="60"/>
            </w:pPr>
            <w:r>
              <w:t>supple</w:t>
            </w:r>
            <w:r w:rsidR="00CC0FBD">
              <w:t>ments :</w:t>
            </w:r>
          </w:p>
        </w:tc>
        <w:tc>
          <w:tcPr>
            <w:tcW w:w="0" w:type="auto"/>
          </w:tcPr>
          <w:p w:rsidR="00CC0FBD" w:rsidRPr="00346F39" w:rsidRDefault="00CC0FBD" w:rsidP="00E4772E">
            <w:pPr>
              <w:spacing w:before="60" w:after="60"/>
            </w:pPr>
            <w:r>
              <w:t>61</w:t>
            </w:r>
          </w:p>
        </w:tc>
        <w:tc>
          <w:tcPr>
            <w:tcW w:w="0" w:type="auto"/>
          </w:tcPr>
          <w:p w:rsidR="00CC0FBD" w:rsidRPr="00346F39" w:rsidRDefault="00CC0FBD" w:rsidP="008E4D30">
            <w:pPr>
              <w:spacing w:before="60" w:after="60"/>
            </w:pPr>
            <w:r w:rsidRPr="00346F39">
              <w:t>(</w:t>
            </w:r>
            <w:r>
              <w:t>57,55</w:t>
            </w:r>
            <w:r w:rsidRPr="00346F39">
              <w:t>%)</w:t>
            </w:r>
          </w:p>
        </w:tc>
      </w:tr>
    </w:tbl>
    <w:p w:rsidR="00DB2A74" w:rsidRDefault="00DB2A74">
      <w:pPr>
        <w:spacing w:before="0" w:after="0" w:line="240" w:lineRule="auto"/>
        <w:jc w:val="left"/>
        <w:rPr>
          <w:rFonts w:eastAsiaTheme="majorEastAsia" w:cstheme="majorBidi"/>
          <w:b/>
          <w:color w:val="1F4D78" w:themeColor="accent1" w:themeShade="7F"/>
          <w:sz w:val="22"/>
          <w:szCs w:val="24"/>
        </w:rPr>
      </w:pPr>
      <w:r>
        <w:br w:type="page"/>
      </w:r>
    </w:p>
    <w:p w:rsidR="00460449" w:rsidRPr="004F7B0B" w:rsidRDefault="004F7B0B" w:rsidP="00813A21">
      <w:pPr>
        <w:pStyle w:val="Heading3"/>
        <w:rPr>
          <w:lang w:val="en-US"/>
        </w:rPr>
      </w:pPr>
      <w:r w:rsidRPr="004F7B0B">
        <w:rPr>
          <w:lang w:val="en-US"/>
        </w:rPr>
        <w:lastRenderedPageBreak/>
        <w:t>Notifications received by the CSSF from the competent authorities of other EEA Member States</w:t>
      </w:r>
    </w:p>
    <w:p w:rsidR="00460449" w:rsidRPr="00B72EE5" w:rsidRDefault="009F1EDC" w:rsidP="00346F39">
      <w:pPr>
        <w:pStyle w:val="BodyText"/>
        <w:spacing w:after="240"/>
        <w:ind w:right="74"/>
        <w:jc w:val="center"/>
        <w:rPr>
          <w:lang w:val="fr-LU"/>
        </w:rPr>
      </w:pPr>
      <w:r>
        <w:rPr>
          <w:noProof/>
          <w:lang w:val="fr-LU" w:eastAsia="fr-LU"/>
        </w:rPr>
        <w:drawing>
          <wp:inline distT="0" distB="0" distL="0" distR="0" wp14:anchorId="18DAFB6B">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0449" w:rsidRPr="004F7B0B" w:rsidRDefault="004F7B0B" w:rsidP="006A7147">
      <w:pPr>
        <w:rPr>
          <w:lang w:val="en-US"/>
        </w:rPr>
      </w:pPr>
      <w:r w:rsidRPr="004F7B0B">
        <w:rPr>
          <w:lang w:val="en-US"/>
        </w:rPr>
        <w:t>In September 2017, the CSSF received 25 notifications relating to prospectuses and base prospectuses and 42 notifications relating to supplements from competent authorities of other EEA Member States.</w:t>
      </w:r>
    </w:p>
    <w:p w:rsidR="00CC0FBD" w:rsidRPr="004F7B0B" w:rsidRDefault="00CC0FBD" w:rsidP="006A7147">
      <w:pPr>
        <w:rPr>
          <w:lang w:val="en-US"/>
        </w:rPr>
      </w:pPr>
    </w:p>
    <w:p w:rsidR="00460449" w:rsidRPr="000F61A9" w:rsidRDefault="000F61A9" w:rsidP="00813A21">
      <w:pPr>
        <w:pStyle w:val="Heading3"/>
        <w:rPr>
          <w:lang w:val="en-US"/>
        </w:rPr>
      </w:pPr>
      <w:r w:rsidRPr="000F61A9">
        <w:rPr>
          <w:lang w:val="en-US"/>
        </w:rPr>
        <w:t>Notifications sent by the CSSF to competent authorities of other EEA Member States</w:t>
      </w:r>
    </w:p>
    <w:p w:rsidR="00460449" w:rsidRPr="000F3F2E" w:rsidRDefault="00585BF4" w:rsidP="00C76FA8">
      <w:pPr>
        <w:pStyle w:val="BodyText"/>
        <w:spacing w:before="100" w:after="120"/>
        <w:ind w:right="74"/>
        <w:jc w:val="center"/>
        <w:rPr>
          <w:lang w:val="fr-LU"/>
        </w:rPr>
      </w:pPr>
      <w:r>
        <w:rPr>
          <w:noProof/>
          <w:lang w:val="fr-LU" w:eastAsia="fr-LU"/>
        </w:rPr>
        <w:drawing>
          <wp:inline distT="0" distB="0" distL="0" distR="0" wp14:anchorId="421C9B68">
            <wp:extent cx="4584700" cy="27559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0449" w:rsidRPr="007078DE" w:rsidRDefault="000F61A9" w:rsidP="00C76FA8">
      <w:pPr>
        <w:spacing w:before="0"/>
        <w:rPr>
          <w:lang w:val="en-US"/>
        </w:rPr>
      </w:pPr>
      <w:r w:rsidRPr="000F61A9">
        <w:rPr>
          <w:lang w:val="en-US"/>
        </w:rPr>
        <w:t>In September 2017, the CSSF sent 27 notifications relating to prospectuses and base prospectuses and 48 notifications relating to supplements to competent authorities of other EEA Member States.</w:t>
      </w:r>
      <w:r w:rsidR="00346F39">
        <w:rPr>
          <w:rStyle w:val="FootnoteReference"/>
        </w:rPr>
        <w:footnoteReference w:id="8"/>
      </w:r>
      <w:r w:rsidR="00460449" w:rsidRPr="007078DE">
        <w:rPr>
          <w:lang w:val="en-US"/>
        </w:rPr>
        <w:t>.</w:t>
      </w:r>
    </w:p>
    <w:p w:rsidR="00460449" w:rsidRPr="007078DE" w:rsidRDefault="007078DE" w:rsidP="009E772E">
      <w:pPr>
        <w:pStyle w:val="Heading2"/>
        <w:rPr>
          <w:lang w:val="en-US"/>
        </w:rPr>
      </w:pPr>
      <w:r w:rsidRPr="007078DE">
        <w:rPr>
          <w:lang w:val="en-US"/>
        </w:rPr>
        <w:lastRenderedPageBreak/>
        <w:t>Issuers of securities whose home Member State is Luxembourg pursuant to the Law of 11 January 2008 on transparency requirements for issuers (the "Transparency Law")</w:t>
      </w:r>
    </w:p>
    <w:p w:rsidR="00A433D8" w:rsidRPr="007078DE" w:rsidRDefault="007078DE" w:rsidP="00A433D8">
      <w:pPr>
        <w:spacing w:before="100" w:beforeAutospacing="1"/>
        <w:rPr>
          <w:lang w:val="en-US"/>
        </w:rPr>
      </w:pPr>
      <w:r w:rsidRPr="007078DE">
        <w:rPr>
          <w:lang w:val="en-US"/>
        </w:rPr>
        <w:t>Since 12 September 2017, 2 issuers have chosen Luxembourg as home Member State for the purposes of the Transparency Law.</w:t>
      </w:r>
      <w:r w:rsidR="00A433D8" w:rsidRPr="007078DE">
        <w:rPr>
          <w:lang w:val="en-US"/>
        </w:rPr>
        <w:t xml:space="preserve"> </w:t>
      </w:r>
      <w:r w:rsidRPr="007078DE">
        <w:rPr>
          <w:lang w:val="en-US"/>
        </w:rPr>
        <w:t>Moreover, 11 issuers were deregistered from the list due to the fact that they no longer fall within the scope of the Transparency Law.</w:t>
      </w:r>
    </w:p>
    <w:p w:rsidR="00964CCF" w:rsidRPr="007078DE" w:rsidRDefault="00585BF4" w:rsidP="00A433D8">
      <w:pPr>
        <w:rPr>
          <w:lang w:val="en-US"/>
        </w:rPr>
      </w:pPr>
      <w:r>
        <w:rPr>
          <w:noProof/>
          <w:lang w:eastAsia="fr-LU"/>
        </w:rPr>
        <w:drawing>
          <wp:anchor distT="0" distB="0" distL="114300" distR="114300" simplePos="0" relativeHeight="251680768" behindDoc="0" locked="0" layoutInCell="1" allowOverlap="1">
            <wp:simplePos x="0" y="0"/>
            <wp:positionH relativeFrom="column">
              <wp:posOffset>2933700</wp:posOffset>
            </wp:positionH>
            <wp:positionV relativeFrom="paragraph">
              <wp:posOffset>471170</wp:posOffset>
            </wp:positionV>
            <wp:extent cx="3438000" cy="2066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LU"/>
        </w:rPr>
        <w:drawing>
          <wp:anchor distT="0" distB="0" distL="114300" distR="114300" simplePos="0" relativeHeight="251679744" behindDoc="0" locked="0" layoutInCell="1" allowOverlap="1">
            <wp:simplePos x="0" y="0"/>
            <wp:positionH relativeFrom="column">
              <wp:posOffset>-571500</wp:posOffset>
            </wp:positionH>
            <wp:positionV relativeFrom="paragraph">
              <wp:posOffset>471170</wp:posOffset>
            </wp:positionV>
            <wp:extent cx="3438000" cy="2066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14:sizeRelH relativeFrom="page">
              <wp14:pctWidth>0</wp14:pctWidth>
            </wp14:sizeRelH>
            <wp14:sizeRelV relativeFrom="page">
              <wp14:pctHeight>0</wp14:pctHeight>
            </wp14:sizeRelV>
          </wp:anchor>
        </w:drawing>
      </w:r>
      <w:r w:rsidR="007078DE" w:rsidRPr="007078DE">
        <w:rPr>
          <w:lang w:val="en-US"/>
        </w:rPr>
        <w:t>As at 10 October 2017, 614 issuers, subject to the supervision of the CSSF, were included in the list of issuers whose home Member State is Luxembourg pursuant to the Transparency Law.</w:t>
      </w:r>
    </w:p>
    <w:p w:rsidR="00A433D8" w:rsidRPr="007078DE" w:rsidRDefault="00A433D8" w:rsidP="00A433D8">
      <w:pPr>
        <w:rPr>
          <w:lang w:val="en-US"/>
        </w:rPr>
      </w:pPr>
    </w:p>
    <w:p w:rsidR="0039263B" w:rsidRPr="007078DE" w:rsidRDefault="007078DE" w:rsidP="0039263B">
      <w:pPr>
        <w:pStyle w:val="Heading1"/>
        <w:rPr>
          <w:lang w:val="en-US"/>
        </w:rPr>
      </w:pPr>
      <w:r w:rsidRPr="007078DE">
        <w:rPr>
          <w:lang w:val="en-US"/>
        </w:rPr>
        <w:t xml:space="preserve">WITHDRAWALS DECIDED BY THE </w:t>
      </w:r>
      <w:r w:rsidR="0039263B" w:rsidRPr="007078DE">
        <w:rPr>
          <w:lang w:val="en-US"/>
        </w:rPr>
        <w:t>CSSF</w:t>
      </w:r>
    </w:p>
    <w:p w:rsidR="00A433D8" w:rsidRPr="007078DE" w:rsidRDefault="007078DE" w:rsidP="00A433D8">
      <w:pPr>
        <w:spacing w:after="360"/>
        <w:rPr>
          <w:lang w:val="en-US" w:eastAsia="fr-LU"/>
        </w:rPr>
      </w:pPr>
      <w:r w:rsidRPr="007078DE">
        <w:rPr>
          <w:lang w:val="en-US" w:eastAsia="fr-LU"/>
        </w:rPr>
        <w:t>A decision to withdraw the specialised investment fund FUND HOUSE FCP SICAV-SIF from the official list of specialised investment funds was taken by the CSSF on 20 September 2017.</w:t>
      </w:r>
    </w:p>
    <w:p w:rsidR="0039263B" w:rsidRPr="007078DE" w:rsidRDefault="007078DE" w:rsidP="00A433D8">
      <w:pPr>
        <w:rPr>
          <w:lang w:val="en-US"/>
        </w:rPr>
      </w:pPr>
      <w:r w:rsidRPr="007078DE">
        <w:rPr>
          <w:lang w:val="en-US" w:eastAsia="fr-LU"/>
        </w:rPr>
        <w:t>A decision to withdraw the specialised investment fund AKROS GLOBAL OPPORTUNITIES S.A., SICAV-SIF from the official list of specialised investment funds was taken by the CSSF on 28 September 2017.</w:t>
      </w:r>
    </w:p>
    <w:p w:rsidR="00A433D8" w:rsidRPr="007078DE" w:rsidRDefault="00A433D8" w:rsidP="0039263B">
      <w:pPr>
        <w:rPr>
          <w:lang w:val="en-US"/>
        </w:rPr>
      </w:pPr>
    </w:p>
    <w:p w:rsidR="00F9566C" w:rsidRPr="007078DE" w:rsidRDefault="00F9566C">
      <w:pPr>
        <w:spacing w:before="0" w:after="0" w:line="240" w:lineRule="auto"/>
        <w:jc w:val="left"/>
        <w:rPr>
          <w:rFonts w:ascii="Times New Roman" w:eastAsiaTheme="majorEastAsia" w:hAnsi="Times New Roman" w:cstheme="majorBidi"/>
          <w:b/>
          <w:i/>
          <w:iCs/>
          <w:color w:val="2E74B5" w:themeColor="accent1" w:themeShade="BF"/>
          <w:sz w:val="24"/>
          <w:szCs w:val="32"/>
          <w:lang w:val="en-US"/>
        </w:rPr>
        <w:sectPr w:rsidR="00F9566C" w:rsidRPr="007078DE" w:rsidSect="00BE1B35">
          <w:headerReference w:type="default" r:id="rId78"/>
          <w:footerReference w:type="default" r:id="rId79"/>
          <w:headerReference w:type="first" r:id="rId80"/>
          <w:pgSz w:w="11906" w:h="16838"/>
          <w:pgMar w:top="1134" w:right="1440" w:bottom="1418" w:left="1440" w:header="708" w:footer="708" w:gutter="0"/>
          <w:pgNumType w:start="1"/>
          <w:cols w:space="708"/>
          <w:titlePg/>
          <w:docGrid w:linePitch="360"/>
        </w:sectPr>
      </w:pPr>
    </w:p>
    <w:p w:rsidR="00F9566C" w:rsidRPr="007078DE" w:rsidRDefault="00F9566C">
      <w:pPr>
        <w:spacing w:before="0" w:after="0" w:line="240" w:lineRule="auto"/>
        <w:jc w:val="left"/>
        <w:rPr>
          <w:rFonts w:eastAsiaTheme="majorEastAsia" w:cs="Arial"/>
          <w:b/>
          <w:i/>
          <w:iCs/>
          <w:color w:val="2E74B5" w:themeColor="accent1" w:themeShade="BF"/>
          <w:sz w:val="10"/>
          <w:szCs w:val="10"/>
          <w:lang w:val="en-US"/>
        </w:rPr>
      </w:pPr>
    </w:p>
    <w:p w:rsidR="00D77627" w:rsidRPr="007078DE" w:rsidRDefault="00D77627" w:rsidP="00D77627">
      <w:pPr>
        <w:spacing w:before="0" w:after="0" w:line="240" w:lineRule="auto"/>
        <w:rPr>
          <w:sz w:val="14"/>
          <w:szCs w:val="14"/>
          <w:lang w:val="en-US"/>
        </w:rPr>
      </w:pPr>
    </w:p>
    <w:p w:rsidR="00460449" w:rsidRPr="007078DE" w:rsidRDefault="007078DE" w:rsidP="008F6833">
      <w:pPr>
        <w:pStyle w:val="Heading1"/>
        <w:spacing w:before="0" w:line="240" w:lineRule="auto"/>
        <w:rPr>
          <w:lang w:val="en-US"/>
        </w:rPr>
      </w:pPr>
      <w:r w:rsidRPr="007078DE">
        <w:rPr>
          <w:lang w:val="en-US"/>
        </w:rPr>
        <w:t>FINANCIAL CENTRE</w:t>
      </w:r>
    </w:p>
    <w:p w:rsidR="00460449" w:rsidRPr="007078DE" w:rsidRDefault="007078DE" w:rsidP="00EF68CD">
      <w:pPr>
        <w:pStyle w:val="Heading2"/>
        <w:spacing w:line="240" w:lineRule="auto"/>
        <w:contextualSpacing/>
        <w:rPr>
          <w:lang w:val="en-US"/>
        </w:rPr>
      </w:pPr>
      <w:r w:rsidRPr="007078DE">
        <w:rPr>
          <w:lang w:val="en-US"/>
        </w:rPr>
        <w:t>Main updated figures regarding the financial centre</w:t>
      </w:r>
    </w:p>
    <w:p w:rsidR="00460449" w:rsidRPr="00C939EE" w:rsidRDefault="00851650" w:rsidP="007078DE">
      <w:pPr>
        <w:tabs>
          <w:tab w:val="left" w:pos="3694"/>
          <w:tab w:val="right" w:pos="9639"/>
        </w:tabs>
        <w:spacing w:after="60" w:line="240" w:lineRule="auto"/>
        <w:ind w:right="-613"/>
        <w:jc w:val="right"/>
        <w:rPr>
          <w:sz w:val="16"/>
          <w:szCs w:val="16"/>
        </w:rPr>
      </w:pPr>
      <w:r w:rsidRPr="007078DE">
        <w:rPr>
          <w:sz w:val="18"/>
          <w:szCs w:val="18"/>
          <w:lang w:val="en-US"/>
        </w:rPr>
        <w:tab/>
      </w:r>
      <w:r w:rsidRPr="007078DE">
        <w:rPr>
          <w:sz w:val="18"/>
          <w:szCs w:val="18"/>
          <w:lang w:val="en-US"/>
        </w:rPr>
        <w:tab/>
      </w:r>
      <w:r w:rsidR="007078DE">
        <w:rPr>
          <w:sz w:val="16"/>
          <w:szCs w:val="16"/>
        </w:rPr>
        <w:t>Annual comparison</w:t>
      </w:r>
    </w:p>
    <w:tbl>
      <w:tblPr>
        <w:tblStyle w:val="GridTable1Light-Accent1"/>
        <w:tblW w:w="10916" w:type="dxa"/>
        <w:tblInd w:w="-993" w:type="dxa"/>
        <w:tblLook w:val="04A0" w:firstRow="1" w:lastRow="0" w:firstColumn="1" w:lastColumn="0" w:noHBand="0" w:noVBand="1"/>
      </w:tblPr>
      <w:tblGrid>
        <w:gridCol w:w="3119"/>
        <w:gridCol w:w="2977"/>
        <w:gridCol w:w="3119"/>
        <w:gridCol w:w="1701"/>
      </w:tblGrid>
      <w:tr w:rsidR="00390873" w:rsidRPr="00F9566C" w:rsidTr="00AD1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tcBorders>
              <w:left w:val="nil"/>
              <w:right w:val="nil"/>
            </w:tcBorders>
          </w:tcPr>
          <w:p w:rsidR="00390873" w:rsidRPr="00F9566C" w:rsidRDefault="00390873" w:rsidP="007078DE">
            <w:pPr>
              <w:spacing w:before="60" w:after="60" w:line="240" w:lineRule="auto"/>
              <w:rPr>
                <w:b w:val="0"/>
                <w:sz w:val="16"/>
                <w:szCs w:val="16"/>
              </w:rPr>
            </w:pPr>
            <w:r w:rsidRPr="00F9566C">
              <w:rPr>
                <w:b w:val="0"/>
                <w:sz w:val="16"/>
                <w:szCs w:val="16"/>
              </w:rPr>
              <w:t>Ban</w:t>
            </w:r>
            <w:r w:rsidR="007078DE">
              <w:rPr>
                <w:b w:val="0"/>
                <w:sz w:val="16"/>
                <w:szCs w:val="16"/>
              </w:rPr>
              <w:t>k</w:t>
            </w:r>
            <w:r w:rsidRPr="00F9566C">
              <w:rPr>
                <w:b w:val="0"/>
                <w:sz w:val="16"/>
                <w:szCs w:val="16"/>
              </w:rPr>
              <w:t>s</w:t>
            </w:r>
          </w:p>
        </w:tc>
        <w:tc>
          <w:tcPr>
            <w:tcW w:w="2977" w:type="dxa"/>
            <w:tcBorders>
              <w:left w:val="nil"/>
              <w:bottom w:val="single" w:sz="4" w:space="0" w:color="BDD6EE" w:themeColor="accent1" w:themeTint="66"/>
              <w:right w:val="nil"/>
            </w:tcBorders>
          </w:tcPr>
          <w:p w:rsidR="00390873" w:rsidRPr="00F9566C" w:rsidRDefault="000E2691" w:rsidP="007078DE">
            <w:pPr>
              <w:spacing w:before="60" w:after="60" w:line="240" w:lineRule="auto"/>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N</w:t>
            </w:r>
            <w:r w:rsidR="007078DE">
              <w:rPr>
                <w:b w:val="0"/>
                <w:sz w:val="16"/>
                <w:szCs w:val="16"/>
              </w:rPr>
              <w:t>u</w:t>
            </w:r>
            <w:r>
              <w:rPr>
                <w:b w:val="0"/>
                <w:sz w:val="16"/>
                <w:szCs w:val="16"/>
              </w:rPr>
              <w:t>mb</w:t>
            </w:r>
            <w:r w:rsidR="007078DE">
              <w:rPr>
                <w:b w:val="0"/>
                <w:sz w:val="16"/>
                <w:szCs w:val="16"/>
              </w:rPr>
              <w:t>er</w:t>
            </w:r>
            <w:r>
              <w:rPr>
                <w:b w:val="0"/>
                <w:sz w:val="16"/>
                <w:szCs w:val="16"/>
              </w:rPr>
              <w:t xml:space="preserve"> (</w:t>
            </w:r>
            <w:r w:rsidR="00261733">
              <w:rPr>
                <w:b w:val="0"/>
                <w:sz w:val="16"/>
                <w:szCs w:val="16"/>
              </w:rPr>
              <w:t>10/10/2017</w:t>
            </w:r>
            <w:r w:rsidR="00390873" w:rsidRPr="00F9566C">
              <w:rPr>
                <w:b w:val="0"/>
                <w:sz w:val="16"/>
                <w:szCs w:val="16"/>
              </w:rPr>
              <w:t xml:space="preserve">) </w:t>
            </w:r>
          </w:p>
        </w:tc>
        <w:tc>
          <w:tcPr>
            <w:tcW w:w="3119" w:type="dxa"/>
            <w:tcBorders>
              <w:left w:val="nil"/>
              <w:bottom w:val="single" w:sz="4" w:space="0" w:color="BDD6EE" w:themeColor="accent1" w:themeTint="66"/>
              <w:right w:val="nil"/>
            </w:tcBorders>
          </w:tcPr>
          <w:p w:rsidR="00390873" w:rsidRPr="00F9566C" w:rsidRDefault="00261733" w:rsidP="00F9566C">
            <w:pPr>
              <w:spacing w:before="60" w:after="60" w:line="240" w:lineRule="auto"/>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141</w:t>
            </w:r>
            <w:r w:rsidR="00117F43">
              <w:rPr>
                <w:rStyle w:val="FootnoteReference"/>
                <w:b w:val="0"/>
                <w:sz w:val="16"/>
                <w:szCs w:val="16"/>
              </w:rPr>
              <w:footnoteReference w:id="9"/>
            </w:r>
          </w:p>
        </w:tc>
        <w:tc>
          <w:tcPr>
            <w:tcW w:w="1701" w:type="dxa"/>
            <w:tcBorders>
              <w:left w:val="nil"/>
              <w:bottom w:val="single" w:sz="4" w:space="0" w:color="BDD6EE" w:themeColor="accent1" w:themeTint="66"/>
              <w:right w:val="nil"/>
            </w:tcBorders>
          </w:tcPr>
          <w:p w:rsidR="00390873" w:rsidRPr="00F9566C" w:rsidRDefault="00235F69" w:rsidP="00F9566C">
            <w:pPr>
              <w:spacing w:before="60" w:after="60" w:line="240" w:lineRule="auto"/>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no change</w:t>
            </w:r>
          </w:p>
        </w:tc>
      </w:tr>
      <w:tr w:rsidR="00390873" w:rsidRPr="00F9566C" w:rsidTr="00AD1AF3">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390873" w:rsidRPr="00F9566C" w:rsidRDefault="00390873" w:rsidP="00F9566C">
            <w:pPr>
              <w:spacing w:before="60" w:after="60" w:line="240" w:lineRule="auto"/>
              <w:rPr>
                <w:b w:val="0"/>
                <w:sz w:val="16"/>
                <w:szCs w:val="16"/>
              </w:rPr>
            </w:pPr>
          </w:p>
        </w:tc>
        <w:tc>
          <w:tcPr>
            <w:tcW w:w="2977" w:type="dxa"/>
            <w:tcBorders>
              <w:top w:val="single" w:sz="4" w:space="0" w:color="BDD6EE" w:themeColor="accent1" w:themeTint="66"/>
              <w:left w:val="nil"/>
              <w:right w:val="nil"/>
            </w:tcBorders>
          </w:tcPr>
          <w:p w:rsidR="00390873" w:rsidRPr="005C5C3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Balance sheet total</w:t>
            </w:r>
            <w:r w:rsidR="00390873" w:rsidRPr="005C5C3C">
              <w:rPr>
                <w:sz w:val="16"/>
                <w:szCs w:val="16"/>
              </w:rPr>
              <w:t xml:space="preserve"> (</w:t>
            </w:r>
            <w:r w:rsidR="00261733">
              <w:rPr>
                <w:sz w:val="16"/>
                <w:szCs w:val="16"/>
              </w:rPr>
              <w:t>30/06/2017</w:t>
            </w:r>
            <w:r w:rsidR="00390873" w:rsidRPr="005C5C3C">
              <w:rPr>
                <w:sz w:val="16"/>
                <w:szCs w:val="16"/>
              </w:rPr>
              <w:t>)</w:t>
            </w:r>
          </w:p>
        </w:tc>
        <w:tc>
          <w:tcPr>
            <w:tcW w:w="3119" w:type="dxa"/>
            <w:tcBorders>
              <w:top w:val="single" w:sz="4" w:space="0" w:color="BDD6EE" w:themeColor="accent1" w:themeTint="66"/>
              <w:left w:val="nil"/>
              <w:right w:val="nil"/>
            </w:tcBorders>
          </w:tcPr>
          <w:p w:rsidR="00390873" w:rsidRPr="00F9566C" w:rsidRDefault="00830BEA" w:rsidP="00830BEA">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763.</w:t>
            </w:r>
            <w:r w:rsidR="00261733">
              <w:rPr>
                <w:sz w:val="16"/>
                <w:szCs w:val="16"/>
              </w:rPr>
              <w:t xml:space="preserve">446 </w:t>
            </w:r>
            <w:r>
              <w:rPr>
                <w:sz w:val="16"/>
                <w:szCs w:val="16"/>
              </w:rPr>
              <w:t>bn</w:t>
            </w:r>
          </w:p>
        </w:tc>
        <w:tc>
          <w:tcPr>
            <w:tcW w:w="1701" w:type="dxa"/>
            <w:tcBorders>
              <w:top w:val="single" w:sz="4" w:space="0" w:color="BDD6EE" w:themeColor="accent1" w:themeTint="66"/>
              <w:left w:val="nil"/>
              <w:right w:val="nil"/>
            </w:tcBorders>
          </w:tcPr>
          <w:p w:rsidR="00390873" w:rsidRPr="00F9566C" w:rsidRDefault="00BB6EAB"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EUR 9.</w:t>
            </w:r>
            <w:r>
              <w:rPr>
                <w:sz w:val="16"/>
                <w:szCs w:val="16"/>
              </w:rPr>
              <w:t xml:space="preserve">821 </w:t>
            </w:r>
            <w:r w:rsidR="00235F69">
              <w:rPr>
                <w:sz w:val="16"/>
                <w:szCs w:val="16"/>
              </w:rPr>
              <w:t>bn</w:t>
            </w:r>
          </w:p>
        </w:tc>
      </w:tr>
      <w:tr w:rsidR="00390873"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390873" w:rsidRPr="00F9566C" w:rsidRDefault="00390873" w:rsidP="00F9566C">
            <w:pPr>
              <w:spacing w:before="60" w:after="60" w:line="240" w:lineRule="auto"/>
              <w:rPr>
                <w:b w:val="0"/>
                <w:sz w:val="16"/>
                <w:szCs w:val="16"/>
              </w:rPr>
            </w:pPr>
          </w:p>
        </w:tc>
        <w:tc>
          <w:tcPr>
            <w:tcW w:w="2977" w:type="dxa"/>
            <w:tcBorders>
              <w:left w:val="nil"/>
              <w:right w:val="nil"/>
            </w:tcBorders>
          </w:tcPr>
          <w:p w:rsidR="00390873" w:rsidRPr="005C5C3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Profit before provisions</w:t>
            </w:r>
            <w:r w:rsidR="00390873" w:rsidRPr="005C5C3C">
              <w:rPr>
                <w:sz w:val="16"/>
                <w:szCs w:val="16"/>
              </w:rPr>
              <w:t xml:space="preserve"> (</w:t>
            </w:r>
            <w:r w:rsidR="00261733">
              <w:rPr>
                <w:sz w:val="16"/>
                <w:szCs w:val="16"/>
              </w:rPr>
              <w:t>30/06/2017</w:t>
            </w:r>
            <w:r w:rsidR="00390873" w:rsidRPr="005C5C3C">
              <w:rPr>
                <w:sz w:val="16"/>
                <w:szCs w:val="16"/>
              </w:rPr>
              <w:t>)</w:t>
            </w:r>
          </w:p>
        </w:tc>
        <w:tc>
          <w:tcPr>
            <w:tcW w:w="3119" w:type="dxa"/>
            <w:tcBorders>
              <w:left w:val="nil"/>
              <w:right w:val="nil"/>
            </w:tcBorders>
          </w:tcPr>
          <w:p w:rsidR="00390873" w:rsidRPr="00F9566C" w:rsidRDefault="00261733"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3</w:t>
            </w:r>
            <w:r w:rsidR="00E85289">
              <w:rPr>
                <w:sz w:val="16"/>
                <w:szCs w:val="16"/>
              </w:rPr>
              <w:t>.</w:t>
            </w:r>
            <w:r>
              <w:rPr>
                <w:sz w:val="16"/>
                <w:szCs w:val="16"/>
              </w:rPr>
              <w:t xml:space="preserve">028 </w:t>
            </w:r>
            <w:r w:rsidR="00235F69">
              <w:rPr>
                <w:sz w:val="16"/>
                <w:szCs w:val="16"/>
              </w:rPr>
              <w:t>bn</w:t>
            </w:r>
          </w:p>
        </w:tc>
        <w:tc>
          <w:tcPr>
            <w:tcW w:w="1701" w:type="dxa"/>
            <w:tcBorders>
              <w:left w:val="nil"/>
              <w:right w:val="nil"/>
            </w:tcBorders>
          </w:tcPr>
          <w:p w:rsidR="00390873" w:rsidRPr="00F9566C" w:rsidRDefault="00BB6EAB"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Pr>
                <w:sz w:val="16"/>
                <w:szCs w:val="16"/>
              </w:rPr>
              <w:t xml:space="preserve"> EUR 25 m</w:t>
            </w:r>
          </w:p>
        </w:tc>
      </w:tr>
      <w:tr w:rsidR="00964CCF" w:rsidRPr="00F9566C" w:rsidTr="00C939EE">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rsidR="000B445A" w:rsidRPr="00F9566C" w:rsidRDefault="007078DE" w:rsidP="00F9566C">
            <w:pPr>
              <w:spacing w:before="60" w:after="60" w:line="240" w:lineRule="auto"/>
              <w:rPr>
                <w:b w:val="0"/>
                <w:sz w:val="16"/>
                <w:szCs w:val="16"/>
              </w:rPr>
            </w:pPr>
            <w:r>
              <w:rPr>
                <w:b w:val="0"/>
                <w:sz w:val="16"/>
                <w:szCs w:val="16"/>
              </w:rPr>
              <w:t>Payment institutions</w:t>
            </w:r>
          </w:p>
        </w:tc>
        <w:tc>
          <w:tcPr>
            <w:tcW w:w="2977" w:type="dxa"/>
            <w:tcBorders>
              <w:left w:val="nil"/>
              <w:right w:val="nil"/>
            </w:tcBorders>
          </w:tcPr>
          <w:p w:rsidR="000B445A"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C5228C" w:rsidRPr="00F9566C">
              <w:rPr>
                <w:sz w:val="16"/>
                <w:szCs w:val="16"/>
              </w:rPr>
              <w:t>mb</w:t>
            </w:r>
            <w:r>
              <w:rPr>
                <w:sz w:val="16"/>
                <w:szCs w:val="16"/>
              </w:rPr>
              <w:t>er</w:t>
            </w:r>
            <w:r w:rsidR="00C5228C" w:rsidRPr="00F9566C">
              <w:rPr>
                <w:sz w:val="16"/>
                <w:szCs w:val="16"/>
              </w:rPr>
              <w:t xml:space="preserve"> (</w:t>
            </w:r>
            <w:r w:rsidR="00261733">
              <w:rPr>
                <w:sz w:val="16"/>
                <w:szCs w:val="16"/>
              </w:rPr>
              <w:t>10/10/2017</w:t>
            </w:r>
            <w:r w:rsidR="000B445A" w:rsidRPr="00F9566C">
              <w:rPr>
                <w:sz w:val="16"/>
                <w:szCs w:val="16"/>
              </w:rPr>
              <w:t>)</w:t>
            </w:r>
          </w:p>
        </w:tc>
        <w:tc>
          <w:tcPr>
            <w:tcW w:w="3119" w:type="dxa"/>
            <w:tcBorders>
              <w:left w:val="nil"/>
              <w:right w:val="nil"/>
            </w:tcBorders>
          </w:tcPr>
          <w:p w:rsidR="000B445A" w:rsidRPr="00F9566C" w:rsidRDefault="00261733" w:rsidP="00590F61">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c>
          <w:tcPr>
            <w:tcW w:w="1701" w:type="dxa"/>
            <w:tcBorders>
              <w:left w:val="nil"/>
              <w:right w:val="nil"/>
            </w:tcBorders>
          </w:tcPr>
          <w:p w:rsidR="000B445A" w:rsidRPr="00F9566C" w:rsidRDefault="00BB6EAB"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235F69">
              <w:rPr>
                <w:sz w:val="16"/>
                <w:szCs w:val="16"/>
              </w:rPr>
              <w:t xml:space="preserve"> 1 entity</w:t>
            </w:r>
          </w:p>
        </w:tc>
      </w:tr>
      <w:tr w:rsidR="00964CCF" w:rsidRPr="00F9566C" w:rsidTr="00C939EE">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rsidR="000B445A" w:rsidRPr="00F9566C" w:rsidRDefault="007078DE" w:rsidP="00F9566C">
            <w:pPr>
              <w:spacing w:before="60" w:after="60" w:line="240" w:lineRule="auto"/>
              <w:rPr>
                <w:b w:val="0"/>
                <w:sz w:val="16"/>
                <w:szCs w:val="16"/>
              </w:rPr>
            </w:pPr>
            <w:r>
              <w:rPr>
                <w:b w:val="0"/>
                <w:sz w:val="16"/>
                <w:szCs w:val="16"/>
              </w:rPr>
              <w:t>Electronic money institutions</w:t>
            </w:r>
          </w:p>
        </w:tc>
        <w:tc>
          <w:tcPr>
            <w:tcW w:w="2977" w:type="dxa"/>
            <w:tcBorders>
              <w:left w:val="nil"/>
              <w:right w:val="nil"/>
            </w:tcBorders>
          </w:tcPr>
          <w:p w:rsidR="000B445A"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0E2691">
              <w:rPr>
                <w:sz w:val="16"/>
                <w:szCs w:val="16"/>
              </w:rPr>
              <w:t>mb</w:t>
            </w:r>
            <w:r>
              <w:rPr>
                <w:sz w:val="16"/>
                <w:szCs w:val="16"/>
              </w:rPr>
              <w:t>er</w:t>
            </w:r>
            <w:r w:rsidR="000E2691">
              <w:rPr>
                <w:sz w:val="16"/>
                <w:szCs w:val="16"/>
              </w:rPr>
              <w:t xml:space="preserve"> (</w:t>
            </w:r>
            <w:r w:rsidR="00261733">
              <w:rPr>
                <w:sz w:val="16"/>
                <w:szCs w:val="16"/>
              </w:rPr>
              <w:t>10/10/2017</w:t>
            </w:r>
            <w:r w:rsidR="000B445A" w:rsidRPr="00F9566C">
              <w:rPr>
                <w:sz w:val="16"/>
                <w:szCs w:val="16"/>
              </w:rPr>
              <w:t>)</w:t>
            </w:r>
          </w:p>
        </w:tc>
        <w:tc>
          <w:tcPr>
            <w:tcW w:w="3119" w:type="dxa"/>
            <w:tcBorders>
              <w:left w:val="nil"/>
              <w:right w:val="nil"/>
            </w:tcBorders>
          </w:tcPr>
          <w:p w:rsidR="000B445A" w:rsidRPr="00F9566C" w:rsidRDefault="00261733"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1701" w:type="dxa"/>
            <w:tcBorders>
              <w:left w:val="nil"/>
              <w:right w:val="nil"/>
            </w:tcBorders>
          </w:tcPr>
          <w:p w:rsidR="000B445A" w:rsidRPr="00F9566C" w:rsidRDefault="00BB6EAB"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235F69">
              <w:rPr>
                <w:sz w:val="16"/>
                <w:szCs w:val="16"/>
              </w:rPr>
              <w:t xml:space="preserve"> 1 entity</w:t>
            </w:r>
          </w:p>
        </w:tc>
      </w:tr>
      <w:tr w:rsidR="00C939EE" w:rsidRPr="00F9566C" w:rsidTr="00C939EE">
        <w:tc>
          <w:tcPr>
            <w:cnfStyle w:val="001000000000" w:firstRow="0" w:lastRow="0" w:firstColumn="1" w:lastColumn="0" w:oddVBand="0" w:evenVBand="0" w:oddHBand="0" w:evenHBand="0" w:firstRowFirstColumn="0" w:firstRowLastColumn="0" w:lastRowFirstColumn="0" w:lastRowLastColumn="0"/>
            <w:tcW w:w="3119" w:type="dxa"/>
            <w:vMerge w:val="restart"/>
            <w:tcBorders>
              <w:left w:val="nil"/>
              <w:right w:val="nil"/>
            </w:tcBorders>
          </w:tcPr>
          <w:p w:rsidR="00C939EE" w:rsidRPr="00777D7C" w:rsidRDefault="007078DE" w:rsidP="00F9566C">
            <w:pPr>
              <w:spacing w:before="60" w:after="60" w:line="240" w:lineRule="auto"/>
              <w:rPr>
                <w:b w:val="0"/>
                <w:sz w:val="16"/>
                <w:szCs w:val="16"/>
              </w:rPr>
            </w:pPr>
            <w:r>
              <w:rPr>
                <w:b w:val="0"/>
                <w:sz w:val="16"/>
                <w:szCs w:val="16"/>
              </w:rPr>
              <w:t>UCIs</w:t>
            </w:r>
          </w:p>
        </w:tc>
        <w:tc>
          <w:tcPr>
            <w:tcW w:w="2977" w:type="dxa"/>
            <w:vMerge w:val="restart"/>
            <w:tcBorders>
              <w:left w:val="nil"/>
              <w:right w:val="nil"/>
            </w:tcBorders>
          </w:tcPr>
          <w:p w:rsidR="00C939EE" w:rsidRPr="00A72D8F" w:rsidRDefault="00A72D8F"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A72D8F">
              <w:rPr>
                <w:sz w:val="16"/>
                <w:szCs w:val="16"/>
              </w:rPr>
              <w:t>N</w:t>
            </w:r>
            <w:r w:rsidR="007078DE">
              <w:rPr>
                <w:sz w:val="16"/>
                <w:szCs w:val="16"/>
              </w:rPr>
              <w:t>u</w:t>
            </w:r>
            <w:r w:rsidRPr="00A72D8F">
              <w:rPr>
                <w:sz w:val="16"/>
                <w:szCs w:val="16"/>
              </w:rPr>
              <w:t>mb</w:t>
            </w:r>
            <w:r w:rsidR="007078DE">
              <w:rPr>
                <w:sz w:val="16"/>
                <w:szCs w:val="16"/>
              </w:rPr>
              <w:t>er</w:t>
            </w:r>
            <w:r w:rsidRPr="00A72D8F">
              <w:rPr>
                <w:sz w:val="16"/>
                <w:szCs w:val="16"/>
              </w:rPr>
              <w:t xml:space="preserve"> (</w:t>
            </w:r>
            <w:r w:rsidR="00117F43">
              <w:rPr>
                <w:sz w:val="16"/>
                <w:szCs w:val="16"/>
              </w:rPr>
              <w:t>11/10/2017</w:t>
            </w:r>
            <w:r w:rsidR="00C939EE" w:rsidRPr="00A72D8F">
              <w:rPr>
                <w:sz w:val="16"/>
                <w:szCs w:val="16"/>
              </w:rPr>
              <w:t>)</w:t>
            </w:r>
          </w:p>
        </w:tc>
        <w:tc>
          <w:tcPr>
            <w:tcW w:w="3119" w:type="dxa"/>
            <w:tcBorders>
              <w:left w:val="nil"/>
              <w:right w:val="nil"/>
            </w:tcBorders>
          </w:tcPr>
          <w:p w:rsidR="00C939EE" w:rsidRPr="00A72D8F" w:rsidRDefault="00117F43"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w:t>
            </w:r>
            <w:r w:rsidR="00235F69">
              <w:rPr>
                <w:sz w:val="16"/>
                <w:szCs w:val="16"/>
              </w:rPr>
              <w:t>art</w:t>
            </w:r>
            <w:r>
              <w:rPr>
                <w:sz w:val="16"/>
                <w:szCs w:val="16"/>
              </w:rPr>
              <w:t xml:space="preserve"> I 2010</w:t>
            </w:r>
            <w:r w:rsidR="00235F69">
              <w:rPr>
                <w:sz w:val="16"/>
                <w:szCs w:val="16"/>
              </w:rPr>
              <w:t xml:space="preserve"> Law: 1,</w:t>
            </w:r>
            <w:r>
              <w:rPr>
                <w:sz w:val="16"/>
                <w:szCs w:val="16"/>
              </w:rPr>
              <w:t>880</w:t>
            </w:r>
          </w:p>
        </w:tc>
        <w:tc>
          <w:tcPr>
            <w:tcW w:w="1701" w:type="dxa"/>
            <w:tcBorders>
              <w:left w:val="nil"/>
              <w:right w:val="nil"/>
            </w:tcBorders>
          </w:tcPr>
          <w:p w:rsidR="00C939EE" w:rsidRPr="00F9566C" w:rsidRDefault="00FB5DE3" w:rsidP="00A72D8F">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11 entitie</w:t>
            </w:r>
            <w:r>
              <w:rPr>
                <w:sz w:val="16"/>
                <w:szCs w:val="16"/>
              </w:rPr>
              <w:t>s</w:t>
            </w:r>
          </w:p>
        </w:tc>
      </w:tr>
      <w:tr w:rsidR="00C939EE"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C939EE" w:rsidRPr="00F9566C" w:rsidRDefault="00C939EE" w:rsidP="00F9566C">
            <w:pPr>
              <w:spacing w:before="60" w:after="60" w:line="240" w:lineRule="auto"/>
              <w:rPr>
                <w:b w:val="0"/>
                <w:sz w:val="16"/>
                <w:szCs w:val="16"/>
              </w:rPr>
            </w:pPr>
          </w:p>
        </w:tc>
        <w:tc>
          <w:tcPr>
            <w:tcW w:w="2977" w:type="dxa"/>
            <w:vMerge/>
            <w:tcBorders>
              <w:left w:val="nil"/>
              <w:right w:val="nil"/>
            </w:tcBorders>
          </w:tcPr>
          <w:p w:rsidR="00C939EE" w:rsidRPr="00A72D8F" w:rsidRDefault="00C939E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3119" w:type="dxa"/>
            <w:tcBorders>
              <w:left w:val="nil"/>
              <w:right w:val="nil"/>
            </w:tcBorders>
          </w:tcPr>
          <w:p w:rsidR="00C939EE" w:rsidRPr="00A72D8F" w:rsidRDefault="00117F43"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Part II </w:t>
            </w:r>
            <w:r w:rsidR="00235F69">
              <w:rPr>
                <w:sz w:val="16"/>
                <w:szCs w:val="16"/>
              </w:rPr>
              <w:t>2010 Law</w:t>
            </w:r>
            <w:r>
              <w:rPr>
                <w:sz w:val="16"/>
                <w:szCs w:val="16"/>
              </w:rPr>
              <w:t>: 332</w:t>
            </w:r>
          </w:p>
        </w:tc>
        <w:tc>
          <w:tcPr>
            <w:tcW w:w="1701" w:type="dxa"/>
            <w:tcBorders>
              <w:left w:val="nil"/>
              <w:right w:val="nil"/>
            </w:tcBorders>
          </w:tcPr>
          <w:p w:rsidR="00C939EE" w:rsidRPr="00F9566C" w:rsidRDefault="00FB5DE3" w:rsidP="00A72D8F">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29 entitie</w:t>
            </w:r>
            <w:r>
              <w:rPr>
                <w:sz w:val="16"/>
                <w:szCs w:val="16"/>
              </w:rPr>
              <w:t>s</w:t>
            </w:r>
          </w:p>
        </w:tc>
      </w:tr>
      <w:tr w:rsidR="00C939EE"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C939EE" w:rsidRPr="00F9566C" w:rsidRDefault="00C939EE" w:rsidP="00F9566C">
            <w:pPr>
              <w:spacing w:before="60" w:after="60" w:line="240" w:lineRule="auto"/>
              <w:rPr>
                <w:b w:val="0"/>
                <w:sz w:val="16"/>
                <w:szCs w:val="16"/>
              </w:rPr>
            </w:pPr>
          </w:p>
        </w:tc>
        <w:tc>
          <w:tcPr>
            <w:tcW w:w="2977" w:type="dxa"/>
            <w:vMerge/>
            <w:tcBorders>
              <w:left w:val="nil"/>
              <w:right w:val="nil"/>
            </w:tcBorders>
          </w:tcPr>
          <w:p w:rsidR="00C939EE" w:rsidRPr="00A72D8F" w:rsidRDefault="00C939E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3119" w:type="dxa"/>
            <w:tcBorders>
              <w:left w:val="nil"/>
              <w:right w:val="nil"/>
            </w:tcBorders>
          </w:tcPr>
          <w:p w:rsidR="00C939EE" w:rsidRPr="00A72D8F" w:rsidRDefault="00235F69" w:rsidP="00A72D8F">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SIFs: 1,</w:t>
            </w:r>
            <w:r w:rsidR="00117F43">
              <w:rPr>
                <w:sz w:val="16"/>
                <w:szCs w:val="16"/>
              </w:rPr>
              <w:t>608</w:t>
            </w:r>
          </w:p>
        </w:tc>
        <w:tc>
          <w:tcPr>
            <w:tcW w:w="1701" w:type="dxa"/>
            <w:tcBorders>
              <w:left w:val="nil"/>
              <w:right w:val="nil"/>
            </w:tcBorders>
          </w:tcPr>
          <w:p w:rsidR="00C939EE" w:rsidRPr="00F9566C" w:rsidRDefault="00FB5DE3" w:rsidP="00A72D8F">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41 entitie</w:t>
            </w:r>
            <w:r>
              <w:rPr>
                <w:sz w:val="16"/>
                <w:szCs w:val="16"/>
              </w:rPr>
              <w:t>s</w:t>
            </w:r>
          </w:p>
        </w:tc>
      </w:tr>
      <w:tr w:rsidR="00C939EE"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C939EE" w:rsidRPr="00F9566C" w:rsidRDefault="00C939EE" w:rsidP="00F9566C">
            <w:pPr>
              <w:spacing w:before="60" w:after="60" w:line="240" w:lineRule="auto"/>
              <w:rPr>
                <w:b w:val="0"/>
                <w:sz w:val="16"/>
                <w:szCs w:val="16"/>
              </w:rPr>
            </w:pPr>
          </w:p>
        </w:tc>
        <w:tc>
          <w:tcPr>
            <w:tcW w:w="2977" w:type="dxa"/>
            <w:vMerge/>
            <w:tcBorders>
              <w:left w:val="nil"/>
              <w:right w:val="nil"/>
            </w:tcBorders>
          </w:tcPr>
          <w:p w:rsidR="00C939EE" w:rsidRPr="00A72D8F" w:rsidRDefault="00C939E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3119" w:type="dxa"/>
            <w:tcBorders>
              <w:left w:val="nil"/>
              <w:right w:val="nil"/>
            </w:tcBorders>
          </w:tcPr>
          <w:p w:rsidR="00C939EE" w:rsidRPr="00A72D8F" w:rsidRDefault="00117F43"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TOTAL</w:t>
            </w:r>
            <w:r w:rsidR="00235F69">
              <w:rPr>
                <w:sz w:val="16"/>
                <w:szCs w:val="16"/>
              </w:rPr>
              <w:t>: 3,</w:t>
            </w:r>
            <w:r>
              <w:rPr>
                <w:sz w:val="16"/>
                <w:szCs w:val="16"/>
              </w:rPr>
              <w:t>820</w:t>
            </w:r>
          </w:p>
        </w:tc>
        <w:tc>
          <w:tcPr>
            <w:tcW w:w="1701" w:type="dxa"/>
            <w:tcBorders>
              <w:left w:val="nil"/>
              <w:right w:val="nil"/>
            </w:tcBorders>
          </w:tcPr>
          <w:p w:rsidR="00C939EE" w:rsidRPr="00F9566C" w:rsidRDefault="00FB5DE3" w:rsidP="00A72D8F">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81 entitie</w:t>
            </w:r>
            <w:r>
              <w:rPr>
                <w:sz w:val="16"/>
                <w:szCs w:val="16"/>
              </w:rPr>
              <w:t>s</w:t>
            </w:r>
          </w:p>
        </w:tc>
      </w:tr>
      <w:tr w:rsidR="00117F43"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117F43" w:rsidRPr="00F9566C" w:rsidRDefault="00117F43" w:rsidP="00F9566C">
            <w:pPr>
              <w:spacing w:before="60" w:after="60" w:line="240" w:lineRule="auto"/>
              <w:rPr>
                <w:b w:val="0"/>
                <w:sz w:val="16"/>
                <w:szCs w:val="16"/>
              </w:rPr>
            </w:pPr>
          </w:p>
        </w:tc>
        <w:tc>
          <w:tcPr>
            <w:tcW w:w="2977" w:type="dxa"/>
            <w:tcBorders>
              <w:left w:val="nil"/>
              <w:right w:val="nil"/>
            </w:tcBorders>
          </w:tcPr>
          <w:p w:rsidR="00117F43" w:rsidRPr="00A72D8F" w:rsidRDefault="00117F43"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r w:rsidR="007078DE">
              <w:rPr>
                <w:sz w:val="16"/>
                <w:szCs w:val="16"/>
              </w:rPr>
              <w:t>u</w:t>
            </w:r>
            <w:r>
              <w:rPr>
                <w:sz w:val="16"/>
                <w:szCs w:val="16"/>
              </w:rPr>
              <w:t>mb</w:t>
            </w:r>
            <w:r w:rsidR="007078DE">
              <w:rPr>
                <w:sz w:val="16"/>
                <w:szCs w:val="16"/>
              </w:rPr>
              <w:t>er</w:t>
            </w:r>
            <w:r>
              <w:rPr>
                <w:sz w:val="16"/>
                <w:szCs w:val="16"/>
              </w:rPr>
              <w:t xml:space="preserve"> (30/09/2017)</w:t>
            </w:r>
          </w:p>
        </w:tc>
        <w:tc>
          <w:tcPr>
            <w:tcW w:w="3119" w:type="dxa"/>
            <w:tcBorders>
              <w:left w:val="nil"/>
              <w:right w:val="nil"/>
            </w:tcBorders>
          </w:tcPr>
          <w:p w:rsidR="00117F43" w:rsidRDefault="00117F43"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SICAR</w:t>
            </w:r>
            <w:r w:rsidR="00235F69">
              <w:rPr>
                <w:sz w:val="16"/>
                <w:szCs w:val="16"/>
              </w:rPr>
              <w:t>s</w:t>
            </w:r>
            <w:r>
              <w:rPr>
                <w:sz w:val="16"/>
                <w:szCs w:val="16"/>
              </w:rPr>
              <w:t>: 290</w:t>
            </w:r>
          </w:p>
        </w:tc>
        <w:tc>
          <w:tcPr>
            <w:tcW w:w="1701" w:type="dxa"/>
            <w:tcBorders>
              <w:left w:val="nil"/>
              <w:right w:val="nil"/>
            </w:tcBorders>
          </w:tcPr>
          <w:p w:rsidR="00117F43" w:rsidRPr="00F9566C" w:rsidRDefault="00FB5DE3" w:rsidP="00A72D8F">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235F69">
              <w:rPr>
                <w:sz w:val="16"/>
                <w:szCs w:val="16"/>
              </w:rPr>
              <w:t xml:space="preserve"> 7 entitie</w:t>
            </w:r>
            <w:r>
              <w:rPr>
                <w:sz w:val="16"/>
                <w:szCs w:val="16"/>
              </w:rPr>
              <w:t>s</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851650" w:rsidRPr="00F9566C" w:rsidRDefault="00851650" w:rsidP="00F9566C">
            <w:pPr>
              <w:spacing w:before="60" w:after="60" w:line="240" w:lineRule="auto"/>
              <w:rPr>
                <w:b w:val="0"/>
                <w:sz w:val="16"/>
                <w:szCs w:val="16"/>
              </w:rPr>
            </w:pPr>
          </w:p>
        </w:tc>
        <w:tc>
          <w:tcPr>
            <w:tcW w:w="2977" w:type="dxa"/>
            <w:tcBorders>
              <w:left w:val="nil"/>
              <w:right w:val="nil"/>
            </w:tcBorders>
          </w:tcPr>
          <w:p w:rsidR="00851650" w:rsidRPr="00F9566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Total net assets</w:t>
            </w:r>
            <w:r w:rsidR="00851650" w:rsidRPr="00F9566C">
              <w:rPr>
                <w:sz w:val="16"/>
                <w:szCs w:val="16"/>
              </w:rPr>
              <w:t xml:space="preserve"> (</w:t>
            </w:r>
            <w:r w:rsidR="00261733">
              <w:rPr>
                <w:sz w:val="16"/>
                <w:szCs w:val="16"/>
              </w:rPr>
              <w:t>31/08/2017</w:t>
            </w:r>
            <w:r w:rsidR="00851650" w:rsidRPr="00F9566C">
              <w:rPr>
                <w:sz w:val="16"/>
                <w:szCs w:val="16"/>
              </w:rPr>
              <w:t>)</w:t>
            </w:r>
          </w:p>
        </w:tc>
        <w:tc>
          <w:tcPr>
            <w:tcW w:w="3119" w:type="dxa"/>
            <w:tcBorders>
              <w:left w:val="nil"/>
              <w:right w:val="nil"/>
            </w:tcBorders>
          </w:tcPr>
          <w:p w:rsidR="00851650" w:rsidRPr="00261733" w:rsidRDefault="00261733"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rFonts w:eastAsia="MS Mincho"/>
                <w:sz w:val="16"/>
                <w:szCs w:val="16"/>
                <w:lang w:val="en-GB" w:eastAsia="ja-JP"/>
              </w:rPr>
              <w:t xml:space="preserve">EUR </w:t>
            </w:r>
            <w:r w:rsidR="00235F69">
              <w:rPr>
                <w:rFonts w:eastAsia="MS Mincho"/>
                <w:sz w:val="16"/>
                <w:szCs w:val="16"/>
                <w:lang w:val="en-GB" w:eastAsia="ja-JP"/>
              </w:rPr>
              <w:t>3,</w:t>
            </w:r>
            <w:r w:rsidRPr="00261733">
              <w:rPr>
                <w:rFonts w:eastAsia="MS Mincho"/>
                <w:sz w:val="16"/>
                <w:szCs w:val="16"/>
                <w:lang w:val="en-GB" w:eastAsia="ja-JP"/>
              </w:rPr>
              <w:t>987</w:t>
            </w:r>
            <w:r w:rsidR="00235F69">
              <w:rPr>
                <w:rFonts w:eastAsia="MS Mincho"/>
                <w:sz w:val="16"/>
                <w:szCs w:val="16"/>
                <w:lang w:val="en-GB" w:eastAsia="ja-JP"/>
              </w:rPr>
              <w:t>.</w:t>
            </w:r>
            <w:r w:rsidRPr="00261733">
              <w:rPr>
                <w:rFonts w:eastAsia="MS Mincho"/>
                <w:sz w:val="16"/>
                <w:szCs w:val="16"/>
                <w:lang w:val="en-GB" w:eastAsia="ja-JP"/>
              </w:rPr>
              <w:t>328</w:t>
            </w:r>
            <w:r w:rsidR="00235F69">
              <w:rPr>
                <w:rFonts w:eastAsia="MS Mincho"/>
                <w:sz w:val="16"/>
                <w:szCs w:val="16"/>
                <w:lang w:val="en-GB" w:eastAsia="ja-JP"/>
              </w:rPr>
              <w:t xml:space="preserve"> bn</w:t>
            </w:r>
          </w:p>
        </w:tc>
        <w:tc>
          <w:tcPr>
            <w:tcW w:w="1701" w:type="dxa"/>
            <w:tcBorders>
              <w:left w:val="nil"/>
              <w:right w:val="nil"/>
            </w:tcBorders>
          </w:tcPr>
          <w:p w:rsidR="00851650" w:rsidRPr="00F9566C" w:rsidRDefault="00C2044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235F69">
              <w:rPr>
                <w:sz w:val="16"/>
                <w:szCs w:val="16"/>
              </w:rPr>
              <w:t xml:space="preserve"> EUR 347.</w:t>
            </w:r>
            <w:r>
              <w:rPr>
                <w:sz w:val="16"/>
                <w:szCs w:val="16"/>
              </w:rPr>
              <w:t xml:space="preserve">736 </w:t>
            </w:r>
            <w:r w:rsidR="00235F69">
              <w:rPr>
                <w:sz w:val="16"/>
                <w:szCs w:val="16"/>
              </w:rPr>
              <w:t>bn</w:t>
            </w:r>
          </w:p>
        </w:tc>
      </w:tr>
      <w:tr w:rsidR="009A13C6" w:rsidRPr="00F9566C" w:rsidTr="00C939EE">
        <w:tc>
          <w:tcPr>
            <w:cnfStyle w:val="001000000000" w:firstRow="0" w:lastRow="0" w:firstColumn="1" w:lastColumn="0" w:oddVBand="0" w:evenVBand="0" w:oddHBand="0" w:evenHBand="0" w:firstRowFirstColumn="0" w:firstRowLastColumn="0" w:lastRowFirstColumn="0" w:lastRowLastColumn="0"/>
            <w:tcW w:w="3119" w:type="dxa"/>
            <w:vMerge w:val="restart"/>
            <w:tcBorders>
              <w:left w:val="nil"/>
              <w:right w:val="nil"/>
            </w:tcBorders>
          </w:tcPr>
          <w:p w:rsidR="009A13C6" w:rsidRPr="00F9566C" w:rsidRDefault="007078DE" w:rsidP="007078DE">
            <w:pPr>
              <w:spacing w:before="60" w:after="60" w:line="240" w:lineRule="auto"/>
              <w:rPr>
                <w:b w:val="0"/>
                <w:sz w:val="16"/>
                <w:szCs w:val="16"/>
              </w:rPr>
            </w:pPr>
            <w:r>
              <w:rPr>
                <w:b w:val="0"/>
                <w:sz w:val="16"/>
                <w:szCs w:val="16"/>
              </w:rPr>
              <w:t>Management companies</w:t>
            </w:r>
            <w:r w:rsidR="009A13C6" w:rsidRPr="00F9566C">
              <w:rPr>
                <w:b w:val="0"/>
                <w:sz w:val="16"/>
                <w:szCs w:val="16"/>
              </w:rPr>
              <w:t xml:space="preserve"> (Chapt</w:t>
            </w:r>
            <w:r>
              <w:rPr>
                <w:b w:val="0"/>
                <w:sz w:val="16"/>
                <w:szCs w:val="16"/>
              </w:rPr>
              <w:t>er</w:t>
            </w:r>
            <w:r w:rsidR="009A13C6" w:rsidRPr="00F9566C">
              <w:rPr>
                <w:b w:val="0"/>
                <w:sz w:val="16"/>
                <w:szCs w:val="16"/>
              </w:rPr>
              <w:t xml:space="preserve"> 15)</w:t>
            </w:r>
          </w:p>
        </w:tc>
        <w:tc>
          <w:tcPr>
            <w:tcW w:w="2977" w:type="dxa"/>
            <w:tcBorders>
              <w:left w:val="nil"/>
              <w:right w:val="nil"/>
            </w:tcBorders>
          </w:tcPr>
          <w:p w:rsidR="009A13C6" w:rsidRPr="00F9566C" w:rsidRDefault="009A13C6"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F9566C">
              <w:rPr>
                <w:sz w:val="16"/>
                <w:szCs w:val="16"/>
              </w:rPr>
              <w:t>N</w:t>
            </w:r>
            <w:r w:rsidR="007078DE">
              <w:rPr>
                <w:sz w:val="16"/>
                <w:szCs w:val="16"/>
              </w:rPr>
              <w:t>u</w:t>
            </w:r>
            <w:r w:rsidRPr="00F9566C">
              <w:rPr>
                <w:sz w:val="16"/>
                <w:szCs w:val="16"/>
              </w:rPr>
              <w:t>mb</w:t>
            </w:r>
            <w:r w:rsidR="007078DE">
              <w:rPr>
                <w:sz w:val="16"/>
                <w:szCs w:val="16"/>
              </w:rPr>
              <w:t>er</w:t>
            </w:r>
            <w:r w:rsidRPr="00F9566C">
              <w:rPr>
                <w:sz w:val="16"/>
                <w:szCs w:val="16"/>
              </w:rPr>
              <w:t xml:space="preserve"> (</w:t>
            </w:r>
            <w:r w:rsidR="00117F43">
              <w:rPr>
                <w:sz w:val="16"/>
                <w:szCs w:val="16"/>
              </w:rPr>
              <w:t>30/09/2017</w:t>
            </w:r>
            <w:r w:rsidRPr="00F9566C">
              <w:rPr>
                <w:sz w:val="16"/>
                <w:szCs w:val="16"/>
              </w:rPr>
              <w:t>)</w:t>
            </w:r>
          </w:p>
        </w:tc>
        <w:tc>
          <w:tcPr>
            <w:tcW w:w="3119" w:type="dxa"/>
            <w:tcBorders>
              <w:left w:val="nil"/>
              <w:right w:val="nil"/>
            </w:tcBorders>
          </w:tcPr>
          <w:p w:rsidR="009A13C6" w:rsidRPr="00F9566C" w:rsidRDefault="00117F43"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202</w:t>
            </w:r>
          </w:p>
        </w:tc>
        <w:tc>
          <w:tcPr>
            <w:tcW w:w="1701" w:type="dxa"/>
            <w:tcBorders>
              <w:left w:val="nil"/>
              <w:right w:val="nil"/>
            </w:tcBorders>
          </w:tcPr>
          <w:p w:rsidR="009A13C6" w:rsidRPr="00F9566C" w:rsidRDefault="005C51A9" w:rsidP="001337D8">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2 entitie</w:t>
            </w:r>
            <w:r>
              <w:rPr>
                <w:sz w:val="16"/>
                <w:szCs w:val="16"/>
              </w:rPr>
              <w:t>s</w:t>
            </w:r>
          </w:p>
        </w:tc>
      </w:tr>
      <w:tr w:rsidR="009A13C6"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9A13C6" w:rsidRPr="00F9566C" w:rsidRDefault="009A13C6" w:rsidP="00F9566C">
            <w:pPr>
              <w:spacing w:before="60" w:after="60" w:line="240" w:lineRule="auto"/>
              <w:rPr>
                <w:b w:val="0"/>
                <w:sz w:val="16"/>
                <w:szCs w:val="16"/>
              </w:rPr>
            </w:pPr>
          </w:p>
        </w:tc>
        <w:tc>
          <w:tcPr>
            <w:tcW w:w="2977" w:type="dxa"/>
            <w:tcBorders>
              <w:left w:val="nil"/>
              <w:right w:val="nil"/>
            </w:tcBorders>
          </w:tcPr>
          <w:p w:rsidR="009A13C6" w:rsidRPr="00F9566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Balance sheet total</w:t>
            </w:r>
            <w:r w:rsidR="00EF68CD">
              <w:rPr>
                <w:sz w:val="16"/>
                <w:szCs w:val="16"/>
              </w:rPr>
              <w:t xml:space="preserve"> (</w:t>
            </w:r>
            <w:r w:rsidR="00117F43">
              <w:rPr>
                <w:sz w:val="16"/>
                <w:szCs w:val="16"/>
              </w:rPr>
              <w:t>30/06/2017</w:t>
            </w:r>
            <w:r w:rsidR="009A13C6" w:rsidRPr="00F9566C">
              <w:rPr>
                <w:sz w:val="16"/>
                <w:szCs w:val="16"/>
              </w:rPr>
              <w:t>)</w:t>
            </w:r>
            <w:bookmarkStart w:id="1" w:name="_Ref499023684"/>
            <w:r w:rsidR="00117F43">
              <w:rPr>
                <w:rStyle w:val="FootnoteReference"/>
                <w:sz w:val="16"/>
                <w:szCs w:val="16"/>
              </w:rPr>
              <w:footnoteReference w:id="10"/>
            </w:r>
            <w:bookmarkEnd w:id="1"/>
          </w:p>
        </w:tc>
        <w:tc>
          <w:tcPr>
            <w:tcW w:w="3119" w:type="dxa"/>
            <w:tcBorders>
              <w:left w:val="nil"/>
              <w:right w:val="nil"/>
            </w:tcBorders>
          </w:tcPr>
          <w:p w:rsidR="009A13C6" w:rsidRPr="00F9566C" w:rsidRDefault="00117F43"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13</w:t>
            </w:r>
            <w:r w:rsidR="00235F69">
              <w:rPr>
                <w:sz w:val="16"/>
                <w:szCs w:val="16"/>
              </w:rPr>
              <w:t>.</w:t>
            </w:r>
            <w:r>
              <w:rPr>
                <w:sz w:val="16"/>
                <w:szCs w:val="16"/>
              </w:rPr>
              <w:t xml:space="preserve">394 </w:t>
            </w:r>
            <w:r w:rsidR="00235F69">
              <w:rPr>
                <w:sz w:val="16"/>
                <w:szCs w:val="16"/>
              </w:rPr>
              <w:t>bn</w:t>
            </w:r>
          </w:p>
        </w:tc>
        <w:tc>
          <w:tcPr>
            <w:tcW w:w="1701" w:type="dxa"/>
            <w:tcBorders>
              <w:left w:val="nil"/>
              <w:right w:val="nil"/>
            </w:tcBorders>
          </w:tcPr>
          <w:p w:rsidR="009A13C6" w:rsidRPr="00F9566C" w:rsidRDefault="005C51A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w:t>
            </w:r>
            <w:r w:rsidR="00F46160">
              <w:rPr>
                <w:sz w:val="16"/>
                <w:szCs w:val="16"/>
              </w:rPr>
              <w:t>797 m</w:t>
            </w:r>
          </w:p>
        </w:tc>
      </w:tr>
      <w:tr w:rsidR="00964CCF" w:rsidRPr="00F9566C" w:rsidTr="00C939EE">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rsidR="000B445A" w:rsidRPr="00F9566C" w:rsidRDefault="007078DE" w:rsidP="007078DE">
            <w:pPr>
              <w:spacing w:before="60" w:after="60" w:line="240" w:lineRule="auto"/>
              <w:rPr>
                <w:b w:val="0"/>
                <w:sz w:val="16"/>
                <w:szCs w:val="16"/>
              </w:rPr>
            </w:pPr>
            <w:r>
              <w:rPr>
                <w:b w:val="0"/>
                <w:sz w:val="16"/>
                <w:szCs w:val="16"/>
              </w:rPr>
              <w:t>Management companies</w:t>
            </w:r>
            <w:r w:rsidR="000B445A" w:rsidRPr="00F9566C">
              <w:rPr>
                <w:b w:val="0"/>
                <w:sz w:val="16"/>
                <w:szCs w:val="16"/>
              </w:rPr>
              <w:t xml:space="preserve"> (Chap</w:t>
            </w:r>
            <w:r>
              <w:rPr>
                <w:b w:val="0"/>
                <w:sz w:val="16"/>
                <w:szCs w:val="16"/>
              </w:rPr>
              <w:t>ter</w:t>
            </w:r>
            <w:r w:rsidR="000B445A" w:rsidRPr="00F9566C">
              <w:rPr>
                <w:b w:val="0"/>
                <w:sz w:val="16"/>
                <w:szCs w:val="16"/>
              </w:rPr>
              <w:t xml:space="preserve"> 16)</w:t>
            </w:r>
          </w:p>
        </w:tc>
        <w:tc>
          <w:tcPr>
            <w:tcW w:w="2977" w:type="dxa"/>
            <w:tcBorders>
              <w:left w:val="nil"/>
              <w:right w:val="nil"/>
            </w:tcBorders>
          </w:tcPr>
          <w:p w:rsidR="000B445A" w:rsidRPr="00F9566C" w:rsidRDefault="000E2691"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r w:rsidR="007078DE">
              <w:rPr>
                <w:sz w:val="16"/>
                <w:szCs w:val="16"/>
              </w:rPr>
              <w:t>u</w:t>
            </w:r>
            <w:r>
              <w:rPr>
                <w:sz w:val="16"/>
                <w:szCs w:val="16"/>
              </w:rPr>
              <w:t>mb</w:t>
            </w:r>
            <w:r w:rsidR="007078DE">
              <w:rPr>
                <w:sz w:val="16"/>
                <w:szCs w:val="16"/>
              </w:rPr>
              <w:t>er</w:t>
            </w:r>
            <w:r>
              <w:rPr>
                <w:sz w:val="16"/>
                <w:szCs w:val="16"/>
              </w:rPr>
              <w:t xml:space="preserve"> (</w:t>
            </w:r>
            <w:r w:rsidR="00117F43">
              <w:rPr>
                <w:sz w:val="16"/>
                <w:szCs w:val="16"/>
              </w:rPr>
              <w:t>30/09/2017</w:t>
            </w:r>
            <w:r w:rsidR="000B445A" w:rsidRPr="00F9566C">
              <w:rPr>
                <w:sz w:val="16"/>
                <w:szCs w:val="16"/>
              </w:rPr>
              <w:t>)</w:t>
            </w:r>
          </w:p>
        </w:tc>
        <w:tc>
          <w:tcPr>
            <w:tcW w:w="3119" w:type="dxa"/>
            <w:tcBorders>
              <w:left w:val="nil"/>
              <w:right w:val="nil"/>
            </w:tcBorders>
          </w:tcPr>
          <w:p w:rsidR="000B445A" w:rsidRPr="00F9566C" w:rsidRDefault="00117F43" w:rsidP="00690A58">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w:t>
            </w:r>
          </w:p>
        </w:tc>
        <w:tc>
          <w:tcPr>
            <w:tcW w:w="1701" w:type="dxa"/>
            <w:tcBorders>
              <w:left w:val="nil"/>
              <w:right w:val="nil"/>
            </w:tcBorders>
          </w:tcPr>
          <w:p w:rsidR="000B445A" w:rsidRPr="00F9566C" w:rsidRDefault="005C51A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4 entit</w:t>
            </w:r>
            <w:r w:rsidR="00235F69">
              <w:rPr>
                <w:sz w:val="16"/>
                <w:szCs w:val="16"/>
              </w:rPr>
              <w:t>ie</w:t>
            </w:r>
            <w:r>
              <w:rPr>
                <w:sz w:val="16"/>
                <w:szCs w:val="16"/>
              </w:rPr>
              <w:t>s</w:t>
            </w:r>
          </w:p>
        </w:tc>
      </w:tr>
      <w:tr w:rsidR="00964CCF" w:rsidRPr="00F9566C" w:rsidTr="00C939EE">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rsidR="000B445A" w:rsidRPr="00777D7C" w:rsidRDefault="007078DE" w:rsidP="00F9566C">
            <w:pPr>
              <w:spacing w:before="60" w:after="60" w:line="240" w:lineRule="auto"/>
              <w:rPr>
                <w:b w:val="0"/>
                <w:sz w:val="16"/>
                <w:szCs w:val="16"/>
              </w:rPr>
            </w:pPr>
            <w:r>
              <w:rPr>
                <w:b w:val="0"/>
                <w:sz w:val="16"/>
                <w:szCs w:val="16"/>
              </w:rPr>
              <w:t>AIFMs</w:t>
            </w:r>
          </w:p>
        </w:tc>
        <w:tc>
          <w:tcPr>
            <w:tcW w:w="2977" w:type="dxa"/>
            <w:tcBorders>
              <w:left w:val="nil"/>
              <w:right w:val="nil"/>
            </w:tcBorders>
          </w:tcPr>
          <w:p w:rsidR="000B445A"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A72D8F" w:rsidRPr="00A72D8F">
              <w:rPr>
                <w:sz w:val="16"/>
                <w:szCs w:val="16"/>
              </w:rPr>
              <w:t>mb</w:t>
            </w:r>
            <w:r>
              <w:rPr>
                <w:sz w:val="16"/>
                <w:szCs w:val="16"/>
              </w:rPr>
              <w:t>er</w:t>
            </w:r>
            <w:r w:rsidR="00A72D8F" w:rsidRPr="00A72D8F">
              <w:rPr>
                <w:sz w:val="16"/>
                <w:szCs w:val="16"/>
              </w:rPr>
              <w:t xml:space="preserve"> (</w:t>
            </w:r>
            <w:r w:rsidR="00117F43">
              <w:rPr>
                <w:sz w:val="16"/>
                <w:szCs w:val="16"/>
              </w:rPr>
              <w:t>11/10/2017</w:t>
            </w:r>
            <w:r w:rsidR="000B445A" w:rsidRPr="00A72D8F">
              <w:rPr>
                <w:sz w:val="16"/>
                <w:szCs w:val="16"/>
              </w:rPr>
              <w:t>)</w:t>
            </w:r>
          </w:p>
        </w:tc>
        <w:tc>
          <w:tcPr>
            <w:tcW w:w="3119" w:type="dxa"/>
            <w:tcBorders>
              <w:left w:val="nil"/>
              <w:right w:val="nil"/>
            </w:tcBorders>
          </w:tcPr>
          <w:p w:rsidR="000B445A" w:rsidRPr="00F9566C" w:rsidRDefault="00117F43" w:rsidP="00777D7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227</w:t>
            </w:r>
          </w:p>
        </w:tc>
        <w:tc>
          <w:tcPr>
            <w:tcW w:w="1701" w:type="dxa"/>
            <w:tcBorders>
              <w:left w:val="nil"/>
              <w:right w:val="nil"/>
            </w:tcBorders>
          </w:tcPr>
          <w:p w:rsidR="000B445A" w:rsidRPr="00F9566C" w:rsidRDefault="005C51A9" w:rsidP="00A72D8F">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235F69">
              <w:rPr>
                <w:sz w:val="16"/>
                <w:szCs w:val="16"/>
              </w:rPr>
              <w:t xml:space="preserve"> 13 entitie</w:t>
            </w:r>
            <w:r>
              <w:rPr>
                <w:sz w:val="16"/>
                <w:szCs w:val="16"/>
              </w:rPr>
              <w:t>s</w:t>
            </w:r>
          </w:p>
        </w:tc>
      </w:tr>
      <w:tr w:rsidR="00964CCF" w:rsidRPr="00F9566C" w:rsidTr="00C939EE">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rsidR="000B445A" w:rsidRPr="00F9566C" w:rsidRDefault="007078DE" w:rsidP="00F9566C">
            <w:pPr>
              <w:spacing w:before="60" w:after="60" w:line="240" w:lineRule="auto"/>
              <w:rPr>
                <w:b w:val="0"/>
                <w:sz w:val="16"/>
                <w:szCs w:val="16"/>
              </w:rPr>
            </w:pPr>
            <w:r>
              <w:rPr>
                <w:b w:val="0"/>
                <w:sz w:val="16"/>
                <w:szCs w:val="16"/>
              </w:rPr>
              <w:t>Pension funds</w:t>
            </w:r>
          </w:p>
        </w:tc>
        <w:tc>
          <w:tcPr>
            <w:tcW w:w="2977" w:type="dxa"/>
            <w:tcBorders>
              <w:left w:val="nil"/>
              <w:right w:val="nil"/>
            </w:tcBorders>
          </w:tcPr>
          <w:p w:rsidR="000B445A"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Num</w:t>
            </w:r>
            <w:r w:rsidR="000B445A" w:rsidRPr="00F9566C">
              <w:rPr>
                <w:sz w:val="16"/>
                <w:szCs w:val="16"/>
              </w:rPr>
              <w:t>b</w:t>
            </w:r>
            <w:r>
              <w:rPr>
                <w:sz w:val="16"/>
                <w:szCs w:val="16"/>
              </w:rPr>
              <w:t>er</w:t>
            </w:r>
            <w:r w:rsidR="000B445A" w:rsidRPr="00F9566C">
              <w:rPr>
                <w:sz w:val="16"/>
                <w:szCs w:val="16"/>
              </w:rPr>
              <w:t xml:space="preserve"> (</w:t>
            </w:r>
            <w:r w:rsidR="00BB6EAB">
              <w:rPr>
                <w:sz w:val="16"/>
                <w:szCs w:val="16"/>
              </w:rPr>
              <w:t>10/10/2017</w:t>
            </w:r>
            <w:r w:rsidR="000B445A" w:rsidRPr="00F9566C">
              <w:rPr>
                <w:sz w:val="16"/>
                <w:szCs w:val="16"/>
              </w:rPr>
              <w:t>)</w:t>
            </w:r>
          </w:p>
        </w:tc>
        <w:tc>
          <w:tcPr>
            <w:tcW w:w="3119" w:type="dxa"/>
            <w:tcBorders>
              <w:left w:val="nil"/>
              <w:right w:val="nil"/>
            </w:tcBorders>
          </w:tcPr>
          <w:p w:rsidR="000B445A" w:rsidRPr="00F9566C" w:rsidRDefault="00BB6EAB" w:rsidP="000E2691">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w:t>
            </w:r>
          </w:p>
        </w:tc>
        <w:tc>
          <w:tcPr>
            <w:tcW w:w="1701" w:type="dxa"/>
            <w:tcBorders>
              <w:left w:val="nil"/>
              <w:right w:val="nil"/>
            </w:tcBorders>
          </w:tcPr>
          <w:p w:rsidR="000B445A" w:rsidRPr="00F9566C" w:rsidRDefault="005C51A9"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2 entitie</w:t>
            </w:r>
            <w:r>
              <w:rPr>
                <w:sz w:val="16"/>
                <w:szCs w:val="16"/>
              </w:rPr>
              <w:t>s</w:t>
            </w:r>
          </w:p>
        </w:tc>
      </w:tr>
      <w:tr w:rsidR="00964CCF" w:rsidRPr="00F9566C" w:rsidTr="00C939EE">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rsidR="000B445A" w:rsidRPr="00F9566C" w:rsidRDefault="007078DE" w:rsidP="00F9566C">
            <w:pPr>
              <w:spacing w:before="60" w:after="60" w:line="240" w:lineRule="auto"/>
              <w:rPr>
                <w:b w:val="0"/>
                <w:sz w:val="16"/>
                <w:szCs w:val="16"/>
              </w:rPr>
            </w:pPr>
            <w:r>
              <w:rPr>
                <w:b w:val="0"/>
                <w:sz w:val="16"/>
                <w:szCs w:val="16"/>
              </w:rPr>
              <w:t>Authorised securitisation undertakings</w:t>
            </w:r>
          </w:p>
        </w:tc>
        <w:tc>
          <w:tcPr>
            <w:tcW w:w="2977" w:type="dxa"/>
            <w:tcBorders>
              <w:left w:val="nil"/>
              <w:right w:val="nil"/>
            </w:tcBorders>
          </w:tcPr>
          <w:p w:rsidR="000B445A"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0E2691">
              <w:rPr>
                <w:sz w:val="16"/>
                <w:szCs w:val="16"/>
              </w:rPr>
              <w:t>mb</w:t>
            </w:r>
            <w:r>
              <w:rPr>
                <w:sz w:val="16"/>
                <w:szCs w:val="16"/>
              </w:rPr>
              <w:t>er</w:t>
            </w:r>
            <w:r w:rsidR="000E2691">
              <w:rPr>
                <w:sz w:val="16"/>
                <w:szCs w:val="16"/>
              </w:rPr>
              <w:t xml:space="preserve"> (</w:t>
            </w:r>
            <w:r w:rsidR="00BB6EAB">
              <w:rPr>
                <w:sz w:val="16"/>
                <w:szCs w:val="16"/>
              </w:rPr>
              <w:t>10/10/2017</w:t>
            </w:r>
            <w:r w:rsidR="000B445A" w:rsidRPr="00F9566C">
              <w:rPr>
                <w:sz w:val="16"/>
                <w:szCs w:val="16"/>
              </w:rPr>
              <w:t>)</w:t>
            </w:r>
          </w:p>
        </w:tc>
        <w:tc>
          <w:tcPr>
            <w:tcW w:w="3119" w:type="dxa"/>
            <w:tcBorders>
              <w:left w:val="nil"/>
              <w:right w:val="nil"/>
            </w:tcBorders>
          </w:tcPr>
          <w:p w:rsidR="000B445A" w:rsidRPr="00F9566C" w:rsidRDefault="00BB6EAB"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w:t>
            </w:r>
          </w:p>
        </w:tc>
        <w:tc>
          <w:tcPr>
            <w:tcW w:w="1701" w:type="dxa"/>
            <w:tcBorders>
              <w:left w:val="nil"/>
              <w:right w:val="nil"/>
            </w:tcBorders>
          </w:tcPr>
          <w:p w:rsidR="000B445A" w:rsidRPr="00F9566C" w:rsidRDefault="00235F69" w:rsidP="009A13C6">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 change</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val="restart"/>
            <w:tcBorders>
              <w:left w:val="nil"/>
              <w:right w:val="nil"/>
            </w:tcBorders>
          </w:tcPr>
          <w:p w:rsidR="00851650" w:rsidRPr="00F9566C" w:rsidRDefault="007078DE" w:rsidP="00F9566C">
            <w:pPr>
              <w:spacing w:before="60" w:after="60" w:line="240" w:lineRule="auto"/>
              <w:rPr>
                <w:b w:val="0"/>
                <w:sz w:val="16"/>
                <w:szCs w:val="16"/>
              </w:rPr>
            </w:pPr>
            <w:r>
              <w:rPr>
                <w:b w:val="0"/>
                <w:sz w:val="16"/>
                <w:szCs w:val="16"/>
              </w:rPr>
              <w:t>Investment firms</w:t>
            </w:r>
          </w:p>
        </w:tc>
        <w:tc>
          <w:tcPr>
            <w:tcW w:w="2977" w:type="dxa"/>
            <w:tcBorders>
              <w:left w:val="nil"/>
              <w:right w:val="nil"/>
            </w:tcBorders>
          </w:tcPr>
          <w:p w:rsidR="00851650"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BF495F">
              <w:rPr>
                <w:sz w:val="16"/>
                <w:szCs w:val="16"/>
              </w:rPr>
              <w:t>mb</w:t>
            </w:r>
            <w:r>
              <w:rPr>
                <w:sz w:val="16"/>
                <w:szCs w:val="16"/>
              </w:rPr>
              <w:t>er</w:t>
            </w:r>
            <w:r w:rsidR="00BF495F">
              <w:rPr>
                <w:sz w:val="16"/>
                <w:szCs w:val="16"/>
              </w:rPr>
              <w:t xml:space="preserve"> (</w:t>
            </w:r>
            <w:r w:rsidR="00B9211C">
              <w:rPr>
                <w:sz w:val="16"/>
                <w:szCs w:val="16"/>
              </w:rPr>
              <w:t>10/10/2017</w:t>
            </w:r>
            <w:r w:rsidR="00851650" w:rsidRPr="00F9566C">
              <w:rPr>
                <w:sz w:val="16"/>
                <w:szCs w:val="16"/>
              </w:rPr>
              <w:t>)</w:t>
            </w:r>
          </w:p>
        </w:tc>
        <w:tc>
          <w:tcPr>
            <w:tcW w:w="3119" w:type="dxa"/>
            <w:tcBorders>
              <w:left w:val="nil"/>
              <w:right w:val="nil"/>
            </w:tcBorders>
          </w:tcPr>
          <w:p w:rsidR="00851650" w:rsidRPr="00F9566C" w:rsidRDefault="00B9211C"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105 </w:t>
            </w:r>
            <w:r w:rsidR="00235F69">
              <w:rPr>
                <w:sz w:val="16"/>
                <w:szCs w:val="16"/>
              </w:rPr>
              <w:t>of which</w:t>
            </w:r>
            <w:r>
              <w:rPr>
                <w:sz w:val="16"/>
                <w:szCs w:val="16"/>
              </w:rPr>
              <w:t xml:space="preserve"> 8 </w:t>
            </w:r>
            <w:r w:rsidR="00235F69">
              <w:rPr>
                <w:sz w:val="16"/>
                <w:szCs w:val="16"/>
              </w:rPr>
              <w:t>branches</w:t>
            </w:r>
          </w:p>
        </w:tc>
        <w:tc>
          <w:tcPr>
            <w:tcW w:w="1701" w:type="dxa"/>
            <w:tcBorders>
              <w:left w:val="nil"/>
              <w:right w:val="nil"/>
            </w:tcBorders>
          </w:tcPr>
          <w:p w:rsidR="00851650" w:rsidRPr="00F9566C" w:rsidRDefault="005C51A9" w:rsidP="00605E5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4 entitie</w:t>
            </w:r>
            <w:r>
              <w:rPr>
                <w:sz w:val="16"/>
                <w:szCs w:val="16"/>
              </w:rPr>
              <w:t>s</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851650" w:rsidRPr="00F9566C" w:rsidRDefault="00851650" w:rsidP="00F9566C">
            <w:pPr>
              <w:spacing w:before="60" w:after="60" w:line="240" w:lineRule="auto"/>
              <w:rPr>
                <w:b w:val="0"/>
                <w:sz w:val="16"/>
                <w:szCs w:val="16"/>
              </w:rPr>
            </w:pPr>
          </w:p>
        </w:tc>
        <w:tc>
          <w:tcPr>
            <w:tcW w:w="2977" w:type="dxa"/>
            <w:tcBorders>
              <w:left w:val="nil"/>
              <w:right w:val="nil"/>
            </w:tcBorders>
          </w:tcPr>
          <w:p w:rsidR="00851650" w:rsidRPr="00F9566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Balance sheet total</w:t>
            </w:r>
            <w:r w:rsidR="00851650" w:rsidRPr="00F9566C">
              <w:rPr>
                <w:sz w:val="16"/>
                <w:szCs w:val="16"/>
              </w:rPr>
              <w:t xml:space="preserve"> (</w:t>
            </w:r>
            <w:r w:rsidR="005C51A9">
              <w:rPr>
                <w:sz w:val="16"/>
                <w:szCs w:val="16"/>
              </w:rPr>
              <w:t>31/08/2017</w:t>
            </w:r>
            <w:r w:rsidR="00851650" w:rsidRPr="00F9566C">
              <w:rPr>
                <w:sz w:val="16"/>
                <w:szCs w:val="16"/>
              </w:rPr>
              <w:t>)</w:t>
            </w:r>
          </w:p>
        </w:tc>
        <w:tc>
          <w:tcPr>
            <w:tcW w:w="3119" w:type="dxa"/>
            <w:tcBorders>
              <w:left w:val="nil"/>
              <w:right w:val="nil"/>
            </w:tcBorders>
          </w:tcPr>
          <w:p w:rsidR="00851650" w:rsidRPr="00F9566C" w:rsidRDefault="00235F6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3.</w:t>
            </w:r>
            <w:r w:rsidR="005C51A9">
              <w:rPr>
                <w:sz w:val="16"/>
                <w:szCs w:val="16"/>
              </w:rPr>
              <w:t xml:space="preserve">849 </w:t>
            </w:r>
            <w:r>
              <w:rPr>
                <w:sz w:val="16"/>
                <w:szCs w:val="16"/>
              </w:rPr>
              <w:t>bn</w:t>
            </w:r>
          </w:p>
        </w:tc>
        <w:tc>
          <w:tcPr>
            <w:tcW w:w="1701" w:type="dxa"/>
            <w:tcBorders>
              <w:left w:val="nil"/>
              <w:right w:val="nil"/>
            </w:tcBorders>
          </w:tcPr>
          <w:p w:rsidR="00851650" w:rsidRPr="00F9566C" w:rsidRDefault="005C51A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235F69">
              <w:rPr>
                <w:sz w:val="16"/>
                <w:szCs w:val="16"/>
              </w:rPr>
              <w:t xml:space="preserve"> EUR 1.</w:t>
            </w:r>
            <w:r>
              <w:rPr>
                <w:sz w:val="16"/>
                <w:szCs w:val="16"/>
              </w:rPr>
              <w:t xml:space="preserve">164 </w:t>
            </w:r>
            <w:r w:rsidR="00235F69">
              <w:rPr>
                <w:sz w:val="16"/>
                <w:szCs w:val="16"/>
              </w:rPr>
              <w:t>bn</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851650" w:rsidRPr="00F9566C" w:rsidRDefault="00851650" w:rsidP="00F9566C">
            <w:pPr>
              <w:spacing w:before="60" w:after="60" w:line="240" w:lineRule="auto"/>
              <w:rPr>
                <w:b w:val="0"/>
                <w:sz w:val="16"/>
                <w:szCs w:val="16"/>
              </w:rPr>
            </w:pPr>
          </w:p>
        </w:tc>
        <w:tc>
          <w:tcPr>
            <w:tcW w:w="2977" w:type="dxa"/>
            <w:tcBorders>
              <w:left w:val="nil"/>
              <w:right w:val="nil"/>
            </w:tcBorders>
          </w:tcPr>
          <w:p w:rsidR="00851650" w:rsidRPr="00F9566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Provisional net profit</w:t>
            </w:r>
            <w:r w:rsidR="00851650" w:rsidRPr="00F9566C">
              <w:rPr>
                <w:sz w:val="16"/>
                <w:szCs w:val="16"/>
              </w:rPr>
              <w:t xml:space="preserve"> (</w:t>
            </w:r>
            <w:r w:rsidR="005C51A9">
              <w:rPr>
                <w:sz w:val="16"/>
                <w:szCs w:val="16"/>
              </w:rPr>
              <w:t>31/08/2017</w:t>
            </w:r>
            <w:r w:rsidR="00851650" w:rsidRPr="00F9566C">
              <w:rPr>
                <w:sz w:val="16"/>
                <w:szCs w:val="16"/>
              </w:rPr>
              <w:t>)</w:t>
            </w:r>
          </w:p>
        </w:tc>
        <w:tc>
          <w:tcPr>
            <w:tcW w:w="3119" w:type="dxa"/>
            <w:tcBorders>
              <w:left w:val="nil"/>
              <w:right w:val="nil"/>
            </w:tcBorders>
          </w:tcPr>
          <w:p w:rsidR="00851650" w:rsidRPr="00F9566C" w:rsidRDefault="00235F6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104.</w:t>
            </w:r>
            <w:r w:rsidR="005C51A9">
              <w:rPr>
                <w:sz w:val="16"/>
                <w:szCs w:val="16"/>
              </w:rPr>
              <w:t>775 m</w:t>
            </w:r>
          </w:p>
        </w:tc>
        <w:tc>
          <w:tcPr>
            <w:tcW w:w="1701" w:type="dxa"/>
            <w:tcBorders>
              <w:left w:val="nil"/>
              <w:right w:val="nil"/>
            </w:tcBorders>
          </w:tcPr>
          <w:p w:rsidR="00851650" w:rsidRPr="00F9566C" w:rsidRDefault="005C51A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235F69">
              <w:rPr>
                <w:sz w:val="16"/>
                <w:szCs w:val="16"/>
              </w:rPr>
              <w:t xml:space="preserve"> EUR 14.</w:t>
            </w:r>
            <w:r>
              <w:rPr>
                <w:sz w:val="16"/>
                <w:szCs w:val="16"/>
              </w:rPr>
              <w:t>595 m</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val="restart"/>
            <w:tcBorders>
              <w:left w:val="nil"/>
              <w:right w:val="nil"/>
            </w:tcBorders>
          </w:tcPr>
          <w:p w:rsidR="00851650" w:rsidRPr="00F9566C" w:rsidRDefault="007078DE" w:rsidP="00F9566C">
            <w:pPr>
              <w:spacing w:before="60" w:after="60" w:line="240" w:lineRule="auto"/>
              <w:rPr>
                <w:b w:val="0"/>
                <w:sz w:val="16"/>
                <w:szCs w:val="16"/>
              </w:rPr>
            </w:pPr>
            <w:r>
              <w:rPr>
                <w:b w:val="0"/>
                <w:sz w:val="16"/>
                <w:szCs w:val="16"/>
              </w:rPr>
              <w:t>Specialised PFS</w:t>
            </w:r>
          </w:p>
        </w:tc>
        <w:tc>
          <w:tcPr>
            <w:tcW w:w="2977" w:type="dxa"/>
            <w:tcBorders>
              <w:left w:val="nil"/>
              <w:right w:val="nil"/>
            </w:tcBorders>
          </w:tcPr>
          <w:p w:rsidR="00851650"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CC19B1" w:rsidRPr="00F9566C">
              <w:rPr>
                <w:sz w:val="16"/>
                <w:szCs w:val="16"/>
              </w:rPr>
              <w:t>mb</w:t>
            </w:r>
            <w:r>
              <w:rPr>
                <w:sz w:val="16"/>
                <w:szCs w:val="16"/>
              </w:rPr>
              <w:t>er</w:t>
            </w:r>
            <w:r w:rsidR="00CC19B1" w:rsidRPr="00F9566C">
              <w:rPr>
                <w:sz w:val="16"/>
                <w:szCs w:val="16"/>
              </w:rPr>
              <w:t xml:space="preserve"> (</w:t>
            </w:r>
            <w:r w:rsidR="00AA0B2B">
              <w:rPr>
                <w:sz w:val="16"/>
                <w:szCs w:val="16"/>
              </w:rPr>
              <w:t>10/10/2017</w:t>
            </w:r>
            <w:r w:rsidR="00851650" w:rsidRPr="00F9566C">
              <w:rPr>
                <w:sz w:val="16"/>
                <w:szCs w:val="16"/>
              </w:rPr>
              <w:t>)</w:t>
            </w:r>
          </w:p>
        </w:tc>
        <w:tc>
          <w:tcPr>
            <w:tcW w:w="3119" w:type="dxa"/>
            <w:tcBorders>
              <w:left w:val="nil"/>
              <w:right w:val="nil"/>
            </w:tcBorders>
          </w:tcPr>
          <w:p w:rsidR="00851650" w:rsidRPr="00F9566C" w:rsidRDefault="00AA0B2B" w:rsidP="0069605A">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113</w:t>
            </w:r>
          </w:p>
        </w:tc>
        <w:tc>
          <w:tcPr>
            <w:tcW w:w="1701" w:type="dxa"/>
            <w:tcBorders>
              <w:left w:val="nil"/>
              <w:right w:val="nil"/>
            </w:tcBorders>
          </w:tcPr>
          <w:p w:rsidR="00851650" w:rsidRPr="00F9566C" w:rsidRDefault="005C51A9" w:rsidP="001E45B1">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Pr>
                <w:sz w:val="16"/>
                <w:szCs w:val="16"/>
              </w:rPr>
              <w:t xml:space="preserve"> 13</w:t>
            </w:r>
            <w:r w:rsidR="00235F69">
              <w:rPr>
                <w:sz w:val="16"/>
                <w:szCs w:val="16"/>
              </w:rPr>
              <w:t xml:space="preserve"> entities</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851650" w:rsidRPr="00F9566C" w:rsidRDefault="00851650" w:rsidP="00F9566C">
            <w:pPr>
              <w:spacing w:before="60" w:after="60" w:line="240" w:lineRule="auto"/>
              <w:rPr>
                <w:b w:val="0"/>
                <w:sz w:val="16"/>
                <w:szCs w:val="16"/>
              </w:rPr>
            </w:pPr>
          </w:p>
        </w:tc>
        <w:tc>
          <w:tcPr>
            <w:tcW w:w="2977" w:type="dxa"/>
            <w:tcBorders>
              <w:left w:val="nil"/>
              <w:right w:val="nil"/>
            </w:tcBorders>
          </w:tcPr>
          <w:p w:rsidR="00851650" w:rsidRPr="00F9566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Balance sheet total</w:t>
            </w:r>
            <w:r w:rsidR="00851650" w:rsidRPr="00F9566C">
              <w:rPr>
                <w:sz w:val="16"/>
                <w:szCs w:val="16"/>
              </w:rPr>
              <w:t xml:space="preserve"> (</w:t>
            </w:r>
            <w:r w:rsidR="005C51A9">
              <w:rPr>
                <w:sz w:val="16"/>
                <w:szCs w:val="16"/>
              </w:rPr>
              <w:t>31/08/2017</w:t>
            </w:r>
            <w:r w:rsidR="00851650" w:rsidRPr="00F9566C">
              <w:rPr>
                <w:sz w:val="16"/>
                <w:szCs w:val="16"/>
              </w:rPr>
              <w:t>)</w:t>
            </w:r>
          </w:p>
        </w:tc>
        <w:tc>
          <w:tcPr>
            <w:tcW w:w="3119" w:type="dxa"/>
            <w:tcBorders>
              <w:left w:val="nil"/>
              <w:right w:val="nil"/>
            </w:tcBorders>
          </w:tcPr>
          <w:p w:rsidR="00851650" w:rsidRPr="00F9566C" w:rsidRDefault="00235F6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5.</w:t>
            </w:r>
            <w:r w:rsidR="005C51A9">
              <w:rPr>
                <w:sz w:val="16"/>
                <w:szCs w:val="16"/>
              </w:rPr>
              <w:t xml:space="preserve">477 </w:t>
            </w:r>
            <w:r>
              <w:rPr>
                <w:sz w:val="16"/>
                <w:szCs w:val="16"/>
              </w:rPr>
              <w:t>bn</w:t>
            </w:r>
          </w:p>
        </w:tc>
        <w:tc>
          <w:tcPr>
            <w:tcW w:w="1701" w:type="dxa"/>
            <w:tcBorders>
              <w:left w:val="nil"/>
              <w:right w:val="nil"/>
            </w:tcBorders>
          </w:tcPr>
          <w:p w:rsidR="00851650" w:rsidRPr="00F9566C" w:rsidRDefault="005C51A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Pr>
                <w:sz w:val="16"/>
                <w:szCs w:val="16"/>
              </w:rPr>
              <w:t xml:space="preserve"> EUR 1</w:t>
            </w:r>
            <w:r w:rsidR="00235F69">
              <w:rPr>
                <w:sz w:val="16"/>
                <w:szCs w:val="16"/>
              </w:rPr>
              <w:t>.</w:t>
            </w:r>
            <w:r>
              <w:rPr>
                <w:sz w:val="16"/>
                <w:szCs w:val="16"/>
              </w:rPr>
              <w:t xml:space="preserve">671 </w:t>
            </w:r>
            <w:r w:rsidR="00235F69">
              <w:rPr>
                <w:sz w:val="16"/>
                <w:szCs w:val="16"/>
              </w:rPr>
              <w:t>bn</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851650" w:rsidRPr="00F9566C" w:rsidRDefault="00851650" w:rsidP="00F9566C">
            <w:pPr>
              <w:spacing w:before="60" w:after="60" w:line="240" w:lineRule="auto"/>
              <w:rPr>
                <w:b w:val="0"/>
                <w:sz w:val="16"/>
                <w:szCs w:val="16"/>
              </w:rPr>
            </w:pPr>
          </w:p>
        </w:tc>
        <w:tc>
          <w:tcPr>
            <w:tcW w:w="2977" w:type="dxa"/>
            <w:tcBorders>
              <w:left w:val="nil"/>
              <w:right w:val="nil"/>
            </w:tcBorders>
          </w:tcPr>
          <w:p w:rsidR="00851650" w:rsidRPr="00F9566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Provisional net profit</w:t>
            </w:r>
            <w:r w:rsidR="00851650" w:rsidRPr="00F9566C">
              <w:rPr>
                <w:sz w:val="16"/>
                <w:szCs w:val="16"/>
              </w:rPr>
              <w:t xml:space="preserve"> (</w:t>
            </w:r>
            <w:r w:rsidR="005C51A9">
              <w:rPr>
                <w:sz w:val="16"/>
                <w:szCs w:val="16"/>
              </w:rPr>
              <w:t>31/08/2017</w:t>
            </w:r>
            <w:r w:rsidR="00851650" w:rsidRPr="00F9566C">
              <w:rPr>
                <w:sz w:val="16"/>
                <w:szCs w:val="16"/>
              </w:rPr>
              <w:t>)</w:t>
            </w:r>
          </w:p>
        </w:tc>
        <w:tc>
          <w:tcPr>
            <w:tcW w:w="3119" w:type="dxa"/>
            <w:tcBorders>
              <w:left w:val="nil"/>
              <w:right w:val="nil"/>
            </w:tcBorders>
          </w:tcPr>
          <w:p w:rsidR="00851650" w:rsidRPr="00F9566C" w:rsidRDefault="00235F6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257.</w:t>
            </w:r>
            <w:r w:rsidR="005C51A9">
              <w:rPr>
                <w:sz w:val="16"/>
                <w:szCs w:val="16"/>
              </w:rPr>
              <w:t>002 m</w:t>
            </w:r>
          </w:p>
        </w:tc>
        <w:tc>
          <w:tcPr>
            <w:tcW w:w="1701" w:type="dxa"/>
            <w:tcBorders>
              <w:left w:val="nil"/>
              <w:right w:val="nil"/>
            </w:tcBorders>
          </w:tcPr>
          <w:p w:rsidR="00851650" w:rsidRPr="00F9566C" w:rsidRDefault="005C51A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235F69">
              <w:rPr>
                <w:sz w:val="16"/>
                <w:szCs w:val="16"/>
              </w:rPr>
              <w:t xml:space="preserve"> EUR 33.</w:t>
            </w:r>
            <w:r>
              <w:rPr>
                <w:sz w:val="16"/>
                <w:szCs w:val="16"/>
              </w:rPr>
              <w:t>744 m</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val="restart"/>
            <w:tcBorders>
              <w:left w:val="nil"/>
              <w:right w:val="nil"/>
            </w:tcBorders>
          </w:tcPr>
          <w:p w:rsidR="00851650" w:rsidRPr="00F9566C" w:rsidRDefault="007078DE" w:rsidP="00F9566C">
            <w:pPr>
              <w:spacing w:before="60" w:after="60" w:line="240" w:lineRule="auto"/>
              <w:rPr>
                <w:b w:val="0"/>
                <w:sz w:val="16"/>
                <w:szCs w:val="16"/>
              </w:rPr>
            </w:pPr>
            <w:r>
              <w:rPr>
                <w:b w:val="0"/>
                <w:sz w:val="16"/>
                <w:szCs w:val="16"/>
              </w:rPr>
              <w:t>Support PFS</w:t>
            </w:r>
          </w:p>
        </w:tc>
        <w:tc>
          <w:tcPr>
            <w:tcW w:w="2977" w:type="dxa"/>
            <w:tcBorders>
              <w:left w:val="nil"/>
              <w:right w:val="nil"/>
            </w:tcBorders>
          </w:tcPr>
          <w:p w:rsidR="00851650"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2C79AC" w:rsidRPr="00F9566C">
              <w:rPr>
                <w:sz w:val="16"/>
                <w:szCs w:val="16"/>
              </w:rPr>
              <w:t>mb</w:t>
            </w:r>
            <w:r>
              <w:rPr>
                <w:sz w:val="16"/>
                <w:szCs w:val="16"/>
              </w:rPr>
              <w:t>er</w:t>
            </w:r>
            <w:r w:rsidR="002C79AC" w:rsidRPr="00F9566C">
              <w:rPr>
                <w:sz w:val="16"/>
                <w:szCs w:val="16"/>
              </w:rPr>
              <w:t xml:space="preserve"> (</w:t>
            </w:r>
            <w:r w:rsidR="00AA0B2B">
              <w:rPr>
                <w:sz w:val="16"/>
                <w:szCs w:val="16"/>
              </w:rPr>
              <w:t>10/10/2017</w:t>
            </w:r>
            <w:r w:rsidR="00851650" w:rsidRPr="00F9566C">
              <w:rPr>
                <w:sz w:val="16"/>
                <w:szCs w:val="16"/>
              </w:rPr>
              <w:t>)</w:t>
            </w:r>
          </w:p>
        </w:tc>
        <w:tc>
          <w:tcPr>
            <w:tcW w:w="3119" w:type="dxa"/>
            <w:tcBorders>
              <w:left w:val="nil"/>
              <w:right w:val="nil"/>
            </w:tcBorders>
          </w:tcPr>
          <w:p w:rsidR="00851650" w:rsidRPr="00F9566C" w:rsidRDefault="00AA0B2B"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78</w:t>
            </w:r>
          </w:p>
        </w:tc>
        <w:tc>
          <w:tcPr>
            <w:tcW w:w="1701" w:type="dxa"/>
            <w:tcBorders>
              <w:left w:val="nil"/>
              <w:right w:val="nil"/>
            </w:tcBorders>
          </w:tcPr>
          <w:p w:rsidR="00851650" w:rsidRPr="00F9566C" w:rsidRDefault="005C51A9" w:rsidP="005C51A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1 entity</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851650" w:rsidRPr="00F9566C" w:rsidRDefault="00851650" w:rsidP="00F9566C">
            <w:pPr>
              <w:spacing w:before="60" w:after="60" w:line="240" w:lineRule="auto"/>
              <w:rPr>
                <w:b w:val="0"/>
                <w:sz w:val="16"/>
                <w:szCs w:val="16"/>
              </w:rPr>
            </w:pPr>
          </w:p>
        </w:tc>
        <w:tc>
          <w:tcPr>
            <w:tcW w:w="2977" w:type="dxa"/>
            <w:tcBorders>
              <w:left w:val="nil"/>
              <w:right w:val="nil"/>
            </w:tcBorders>
          </w:tcPr>
          <w:p w:rsidR="00851650" w:rsidRPr="00F9566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Balance sheet total</w:t>
            </w:r>
            <w:r w:rsidR="00851650" w:rsidRPr="00F9566C">
              <w:rPr>
                <w:sz w:val="16"/>
                <w:szCs w:val="16"/>
              </w:rPr>
              <w:t xml:space="preserve"> (</w:t>
            </w:r>
            <w:r w:rsidR="005C51A9">
              <w:rPr>
                <w:sz w:val="16"/>
                <w:szCs w:val="16"/>
              </w:rPr>
              <w:t>31/08/2017</w:t>
            </w:r>
            <w:r w:rsidR="00851650" w:rsidRPr="00F9566C">
              <w:rPr>
                <w:sz w:val="16"/>
                <w:szCs w:val="16"/>
              </w:rPr>
              <w:t>)</w:t>
            </w:r>
          </w:p>
        </w:tc>
        <w:tc>
          <w:tcPr>
            <w:tcW w:w="3119" w:type="dxa"/>
            <w:tcBorders>
              <w:left w:val="nil"/>
              <w:right w:val="nil"/>
            </w:tcBorders>
          </w:tcPr>
          <w:p w:rsidR="00851650" w:rsidRPr="00F9566C" w:rsidRDefault="00235F6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1.</w:t>
            </w:r>
            <w:r w:rsidR="005C51A9">
              <w:rPr>
                <w:sz w:val="16"/>
                <w:szCs w:val="16"/>
              </w:rPr>
              <w:t xml:space="preserve">130 </w:t>
            </w:r>
            <w:r>
              <w:rPr>
                <w:sz w:val="16"/>
                <w:szCs w:val="16"/>
              </w:rPr>
              <w:t>bn</w:t>
            </w:r>
          </w:p>
        </w:tc>
        <w:tc>
          <w:tcPr>
            <w:tcW w:w="1701" w:type="dxa"/>
            <w:tcBorders>
              <w:left w:val="nil"/>
              <w:right w:val="nil"/>
            </w:tcBorders>
          </w:tcPr>
          <w:p w:rsidR="00851650" w:rsidRPr="00F9566C" w:rsidRDefault="005C51A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sidR="008E4D30">
              <w:rPr>
                <w:sz w:val="16"/>
                <w:szCs w:val="16"/>
              </w:rPr>
              <w:t xml:space="preserve"> EUR 6</w:t>
            </w:r>
            <w:r>
              <w:rPr>
                <w:sz w:val="16"/>
                <w:szCs w:val="16"/>
              </w:rPr>
              <w:t>5 m</w:t>
            </w:r>
          </w:p>
        </w:tc>
      </w:tr>
      <w:tr w:rsidR="00851650"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851650" w:rsidRPr="00F9566C" w:rsidRDefault="00851650" w:rsidP="00F9566C">
            <w:pPr>
              <w:spacing w:before="60" w:after="60" w:line="240" w:lineRule="auto"/>
              <w:rPr>
                <w:b w:val="0"/>
                <w:sz w:val="16"/>
                <w:szCs w:val="16"/>
              </w:rPr>
            </w:pPr>
          </w:p>
        </w:tc>
        <w:tc>
          <w:tcPr>
            <w:tcW w:w="2977" w:type="dxa"/>
            <w:tcBorders>
              <w:left w:val="nil"/>
              <w:right w:val="nil"/>
            </w:tcBorders>
          </w:tcPr>
          <w:p w:rsidR="00851650" w:rsidRPr="00F9566C" w:rsidRDefault="007078DE" w:rsidP="000F3F2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Provisional net profit</w:t>
            </w:r>
            <w:r w:rsidR="00851650" w:rsidRPr="00F9566C">
              <w:rPr>
                <w:sz w:val="16"/>
                <w:szCs w:val="16"/>
              </w:rPr>
              <w:t xml:space="preserve"> (</w:t>
            </w:r>
            <w:r w:rsidR="005C51A9">
              <w:rPr>
                <w:sz w:val="16"/>
                <w:szCs w:val="16"/>
              </w:rPr>
              <w:t>31/08/2017</w:t>
            </w:r>
            <w:r w:rsidR="00851650" w:rsidRPr="00F9566C">
              <w:rPr>
                <w:sz w:val="16"/>
                <w:szCs w:val="16"/>
              </w:rPr>
              <w:t>)</w:t>
            </w:r>
          </w:p>
        </w:tc>
        <w:tc>
          <w:tcPr>
            <w:tcW w:w="3119" w:type="dxa"/>
            <w:tcBorders>
              <w:left w:val="nil"/>
              <w:right w:val="nil"/>
            </w:tcBorders>
          </w:tcPr>
          <w:p w:rsidR="00851650" w:rsidRPr="00F9566C" w:rsidRDefault="005C51A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EUR 65</w:t>
            </w:r>
            <w:r w:rsidR="00235F69">
              <w:rPr>
                <w:sz w:val="16"/>
                <w:szCs w:val="16"/>
              </w:rPr>
              <w:t>.</w:t>
            </w:r>
            <w:r>
              <w:rPr>
                <w:sz w:val="16"/>
                <w:szCs w:val="16"/>
              </w:rPr>
              <w:t>45</w:t>
            </w:r>
            <w:r w:rsidR="00235F69">
              <w:rPr>
                <w:sz w:val="16"/>
                <w:szCs w:val="16"/>
              </w:rPr>
              <w:t xml:space="preserve"> m</w:t>
            </w:r>
          </w:p>
        </w:tc>
        <w:tc>
          <w:tcPr>
            <w:tcW w:w="1701" w:type="dxa"/>
            <w:tcBorders>
              <w:left w:val="nil"/>
              <w:right w:val="nil"/>
            </w:tcBorders>
          </w:tcPr>
          <w:p w:rsidR="00851650" w:rsidRPr="00F9566C" w:rsidRDefault="006769E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EUR 12</w:t>
            </w:r>
            <w:r w:rsidR="00235F69">
              <w:rPr>
                <w:sz w:val="16"/>
                <w:szCs w:val="16"/>
              </w:rPr>
              <w:t>.</w:t>
            </w:r>
            <w:r>
              <w:rPr>
                <w:sz w:val="16"/>
                <w:szCs w:val="16"/>
              </w:rPr>
              <w:t>59 m</w:t>
            </w:r>
          </w:p>
        </w:tc>
      </w:tr>
      <w:tr w:rsidR="00964CCF" w:rsidRPr="00F9566C" w:rsidTr="00C939EE">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rsidR="000B445A" w:rsidRPr="007078DE" w:rsidRDefault="007078DE" w:rsidP="00F9566C">
            <w:pPr>
              <w:spacing w:before="60" w:after="60" w:line="240" w:lineRule="auto"/>
              <w:rPr>
                <w:b w:val="0"/>
                <w:sz w:val="16"/>
                <w:szCs w:val="16"/>
                <w:lang w:val="en-US"/>
              </w:rPr>
            </w:pPr>
            <w:r w:rsidRPr="007078DE">
              <w:rPr>
                <w:b w:val="0"/>
                <w:sz w:val="16"/>
                <w:szCs w:val="16"/>
                <w:lang w:val="en-US"/>
              </w:rPr>
              <w:t>Issuers of securities whose home Member State is Luxembourg pursuant to the Transparency Law</w:t>
            </w:r>
          </w:p>
        </w:tc>
        <w:tc>
          <w:tcPr>
            <w:tcW w:w="2977" w:type="dxa"/>
            <w:tcBorders>
              <w:left w:val="nil"/>
              <w:right w:val="nil"/>
            </w:tcBorders>
          </w:tcPr>
          <w:p w:rsidR="000B445A"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0B445A" w:rsidRPr="00F9566C">
              <w:rPr>
                <w:sz w:val="16"/>
                <w:szCs w:val="16"/>
              </w:rPr>
              <w:t>mb</w:t>
            </w:r>
            <w:r>
              <w:rPr>
                <w:sz w:val="16"/>
                <w:szCs w:val="16"/>
              </w:rPr>
              <w:t>er</w:t>
            </w:r>
            <w:r w:rsidR="000B445A" w:rsidRPr="00F9566C">
              <w:rPr>
                <w:sz w:val="16"/>
                <w:szCs w:val="16"/>
              </w:rPr>
              <w:t xml:space="preserve"> (</w:t>
            </w:r>
            <w:r w:rsidR="00BB6EAB">
              <w:rPr>
                <w:sz w:val="16"/>
                <w:szCs w:val="16"/>
              </w:rPr>
              <w:t>10/10/2017</w:t>
            </w:r>
            <w:r w:rsidR="000B445A" w:rsidRPr="00F9566C">
              <w:rPr>
                <w:sz w:val="16"/>
                <w:szCs w:val="16"/>
              </w:rPr>
              <w:t>)</w:t>
            </w:r>
          </w:p>
        </w:tc>
        <w:tc>
          <w:tcPr>
            <w:tcW w:w="3119" w:type="dxa"/>
            <w:tcBorders>
              <w:left w:val="nil"/>
              <w:right w:val="nil"/>
            </w:tcBorders>
          </w:tcPr>
          <w:p w:rsidR="000B445A" w:rsidRPr="00F9566C" w:rsidRDefault="00BB6EAB" w:rsidP="00DF4C81">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614</w:t>
            </w:r>
          </w:p>
        </w:tc>
        <w:tc>
          <w:tcPr>
            <w:tcW w:w="1701" w:type="dxa"/>
            <w:tcBorders>
              <w:left w:val="nil"/>
              <w:right w:val="nil"/>
            </w:tcBorders>
          </w:tcPr>
          <w:p w:rsidR="000B445A" w:rsidRPr="00F9566C" w:rsidRDefault="006769E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Pr>
                <w:sz w:val="16"/>
                <w:szCs w:val="16"/>
              </w:rPr>
              <w:t xml:space="preserve"> 68 entit</w:t>
            </w:r>
            <w:r w:rsidR="00235F69">
              <w:rPr>
                <w:sz w:val="16"/>
                <w:szCs w:val="16"/>
              </w:rPr>
              <w:t>ie</w:t>
            </w:r>
            <w:r>
              <w:rPr>
                <w:sz w:val="16"/>
                <w:szCs w:val="16"/>
              </w:rPr>
              <w:t>s</w:t>
            </w:r>
          </w:p>
        </w:tc>
      </w:tr>
      <w:tr w:rsidR="00C939EE" w:rsidRPr="00F9566C" w:rsidTr="00C939EE">
        <w:tc>
          <w:tcPr>
            <w:cnfStyle w:val="001000000000" w:firstRow="0" w:lastRow="0" w:firstColumn="1" w:lastColumn="0" w:oddVBand="0" w:evenVBand="0" w:oddHBand="0" w:evenHBand="0" w:firstRowFirstColumn="0" w:firstRowLastColumn="0" w:lastRowFirstColumn="0" w:lastRowLastColumn="0"/>
            <w:tcW w:w="3119" w:type="dxa"/>
            <w:vMerge w:val="restart"/>
            <w:tcBorders>
              <w:left w:val="nil"/>
              <w:right w:val="nil"/>
            </w:tcBorders>
          </w:tcPr>
          <w:p w:rsidR="00C939EE" w:rsidRPr="007078DE" w:rsidRDefault="007078DE" w:rsidP="00F9566C">
            <w:pPr>
              <w:spacing w:before="60" w:after="60" w:line="240" w:lineRule="auto"/>
              <w:rPr>
                <w:b w:val="0"/>
                <w:sz w:val="16"/>
                <w:szCs w:val="16"/>
                <w:lang w:val="en-US"/>
              </w:rPr>
            </w:pPr>
            <w:r w:rsidRPr="007078DE">
              <w:rPr>
                <w:b w:val="0"/>
                <w:sz w:val="16"/>
                <w:szCs w:val="16"/>
                <w:lang w:val="en-US"/>
              </w:rPr>
              <w:t>Public oversight of the audit profession</w:t>
            </w:r>
          </w:p>
        </w:tc>
        <w:tc>
          <w:tcPr>
            <w:tcW w:w="2977" w:type="dxa"/>
            <w:vMerge w:val="restart"/>
            <w:tcBorders>
              <w:left w:val="nil"/>
              <w:right w:val="nil"/>
            </w:tcBorders>
          </w:tcPr>
          <w:p w:rsidR="00C939EE" w:rsidRPr="00F9566C" w:rsidRDefault="007078DE"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Nu</w:t>
            </w:r>
            <w:r w:rsidR="00C939EE" w:rsidRPr="00F9566C">
              <w:rPr>
                <w:sz w:val="16"/>
                <w:szCs w:val="16"/>
              </w:rPr>
              <w:t>mb</w:t>
            </w:r>
            <w:r>
              <w:rPr>
                <w:sz w:val="16"/>
                <w:szCs w:val="16"/>
              </w:rPr>
              <w:t>er</w:t>
            </w:r>
            <w:r w:rsidR="00C939EE" w:rsidRPr="00F9566C">
              <w:rPr>
                <w:sz w:val="16"/>
                <w:szCs w:val="16"/>
              </w:rPr>
              <w:t xml:space="preserve"> (</w:t>
            </w:r>
            <w:r w:rsidR="00BB6EAB">
              <w:rPr>
                <w:sz w:val="16"/>
                <w:szCs w:val="16"/>
              </w:rPr>
              <w:t>30/09/2017</w:t>
            </w:r>
            <w:r w:rsidR="00C939EE" w:rsidRPr="00F9566C">
              <w:rPr>
                <w:sz w:val="16"/>
                <w:szCs w:val="16"/>
              </w:rPr>
              <w:t>)</w:t>
            </w:r>
          </w:p>
        </w:tc>
        <w:tc>
          <w:tcPr>
            <w:tcW w:w="3119" w:type="dxa"/>
            <w:tcBorders>
              <w:left w:val="nil"/>
              <w:right w:val="nil"/>
            </w:tcBorders>
          </w:tcPr>
          <w:p w:rsidR="00C939EE" w:rsidRPr="00F9566C" w:rsidRDefault="00BB6EAB" w:rsidP="0001372A">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59 </w:t>
            </w:r>
            <w:r w:rsidRPr="00235F69">
              <w:rPr>
                <w:i/>
                <w:sz w:val="16"/>
                <w:szCs w:val="16"/>
              </w:rPr>
              <w:t>cabinets de révision agréés</w:t>
            </w:r>
          </w:p>
        </w:tc>
        <w:tc>
          <w:tcPr>
            <w:tcW w:w="1701" w:type="dxa"/>
            <w:tcBorders>
              <w:left w:val="nil"/>
              <w:right w:val="nil"/>
            </w:tcBorders>
          </w:tcPr>
          <w:p w:rsidR="00C939EE" w:rsidRPr="00F9566C" w:rsidRDefault="006769E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Pr>
                <w:sz w:val="16"/>
                <w:szCs w:val="16"/>
              </w:rPr>
              <w:t xml:space="preserve"> 7 entit</w:t>
            </w:r>
            <w:r w:rsidR="00235F69">
              <w:rPr>
                <w:sz w:val="16"/>
                <w:szCs w:val="16"/>
              </w:rPr>
              <w:t>ie</w:t>
            </w:r>
            <w:r>
              <w:rPr>
                <w:sz w:val="16"/>
                <w:szCs w:val="16"/>
              </w:rPr>
              <w:t>s</w:t>
            </w:r>
          </w:p>
        </w:tc>
      </w:tr>
      <w:tr w:rsidR="00C939EE"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C939EE" w:rsidRPr="00F9566C" w:rsidRDefault="00C939EE" w:rsidP="00F9566C">
            <w:pPr>
              <w:spacing w:before="60" w:after="60" w:line="240" w:lineRule="auto"/>
              <w:rPr>
                <w:b w:val="0"/>
                <w:sz w:val="16"/>
                <w:szCs w:val="16"/>
              </w:rPr>
            </w:pPr>
          </w:p>
        </w:tc>
        <w:tc>
          <w:tcPr>
            <w:tcW w:w="2977" w:type="dxa"/>
            <w:vMerge/>
            <w:tcBorders>
              <w:left w:val="nil"/>
              <w:right w:val="nil"/>
            </w:tcBorders>
          </w:tcPr>
          <w:p w:rsidR="00C939EE" w:rsidRPr="00F9566C" w:rsidRDefault="00C939E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3119" w:type="dxa"/>
            <w:tcBorders>
              <w:left w:val="nil"/>
              <w:right w:val="nil"/>
            </w:tcBorders>
          </w:tcPr>
          <w:p w:rsidR="00C939EE" w:rsidRPr="00F9566C" w:rsidRDefault="00BB6EAB" w:rsidP="0001372A">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304 </w:t>
            </w:r>
            <w:r w:rsidRPr="00235F69">
              <w:rPr>
                <w:i/>
                <w:sz w:val="16"/>
                <w:szCs w:val="16"/>
              </w:rPr>
              <w:t>réviseurs d’entreprises agréés</w:t>
            </w:r>
          </w:p>
        </w:tc>
        <w:tc>
          <w:tcPr>
            <w:tcW w:w="1701" w:type="dxa"/>
            <w:tcBorders>
              <w:left w:val="nil"/>
              <w:right w:val="nil"/>
            </w:tcBorders>
          </w:tcPr>
          <w:p w:rsidR="00C939EE" w:rsidRPr="00F9566C" w:rsidRDefault="006769E9"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1</w:t>
            </w:r>
            <w:r w:rsidR="008E4D30">
              <w:rPr>
                <w:sz w:val="16"/>
                <w:szCs w:val="16"/>
              </w:rPr>
              <w:t>8</w:t>
            </w:r>
            <w:r>
              <w:rPr>
                <w:sz w:val="16"/>
                <w:szCs w:val="16"/>
              </w:rPr>
              <w:t xml:space="preserve"> pe</w:t>
            </w:r>
            <w:r w:rsidR="00235F69">
              <w:rPr>
                <w:sz w:val="16"/>
                <w:szCs w:val="16"/>
              </w:rPr>
              <w:t>ople</w:t>
            </w:r>
          </w:p>
        </w:tc>
      </w:tr>
      <w:tr w:rsidR="00C939EE"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C939EE" w:rsidRPr="00F9566C" w:rsidRDefault="00C939EE" w:rsidP="00F9566C">
            <w:pPr>
              <w:spacing w:before="60" w:after="60" w:line="240" w:lineRule="auto"/>
              <w:rPr>
                <w:b w:val="0"/>
                <w:sz w:val="16"/>
                <w:szCs w:val="16"/>
              </w:rPr>
            </w:pPr>
          </w:p>
        </w:tc>
        <w:tc>
          <w:tcPr>
            <w:tcW w:w="2977" w:type="dxa"/>
            <w:vMerge/>
            <w:tcBorders>
              <w:left w:val="nil"/>
              <w:right w:val="nil"/>
            </w:tcBorders>
          </w:tcPr>
          <w:p w:rsidR="00C939EE" w:rsidRPr="00F9566C" w:rsidRDefault="00C939E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3119" w:type="dxa"/>
            <w:tcBorders>
              <w:left w:val="nil"/>
              <w:right w:val="nil"/>
            </w:tcBorders>
          </w:tcPr>
          <w:p w:rsidR="00C939EE" w:rsidRPr="00235F69" w:rsidRDefault="00BB6EAB" w:rsidP="00235F6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pacing w:val="-6"/>
                <w:sz w:val="16"/>
                <w:szCs w:val="16"/>
                <w:lang w:val="en-US"/>
              </w:rPr>
            </w:pPr>
            <w:r w:rsidRPr="00235F69">
              <w:rPr>
                <w:spacing w:val="-6"/>
                <w:sz w:val="16"/>
                <w:szCs w:val="16"/>
                <w:lang w:val="en-US"/>
              </w:rPr>
              <w:t xml:space="preserve">40 </w:t>
            </w:r>
            <w:r w:rsidR="00235F69" w:rsidRPr="00235F69">
              <w:rPr>
                <w:spacing w:val="-6"/>
                <w:sz w:val="16"/>
                <w:szCs w:val="16"/>
                <w:lang w:val="en-US"/>
              </w:rPr>
              <w:t>third-country auditors and audit firms</w:t>
            </w:r>
          </w:p>
        </w:tc>
        <w:tc>
          <w:tcPr>
            <w:tcW w:w="1701" w:type="dxa"/>
            <w:tcBorders>
              <w:left w:val="nil"/>
              <w:right w:val="nil"/>
            </w:tcBorders>
          </w:tcPr>
          <w:p w:rsidR="00C939EE" w:rsidRPr="00F9566C" w:rsidRDefault="006769E9" w:rsidP="00BF495F">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sidR="00235F69">
              <w:rPr>
                <w:sz w:val="16"/>
                <w:szCs w:val="16"/>
              </w:rPr>
              <w:t xml:space="preserve"> 1 entity</w:t>
            </w:r>
          </w:p>
        </w:tc>
      </w:tr>
      <w:tr w:rsidR="00655481" w:rsidRPr="00F9566C" w:rsidTr="00C939EE">
        <w:tc>
          <w:tcPr>
            <w:cnfStyle w:val="001000000000" w:firstRow="0" w:lastRow="0" w:firstColumn="1" w:lastColumn="0" w:oddVBand="0" w:evenVBand="0" w:oddHBand="0" w:evenHBand="0" w:firstRowFirstColumn="0" w:firstRowLastColumn="0" w:lastRowFirstColumn="0" w:lastRowLastColumn="0"/>
            <w:tcW w:w="3119" w:type="dxa"/>
            <w:vMerge w:val="restart"/>
            <w:tcBorders>
              <w:left w:val="nil"/>
              <w:right w:val="nil"/>
            </w:tcBorders>
          </w:tcPr>
          <w:p w:rsidR="00655481" w:rsidRPr="00F9566C" w:rsidRDefault="00655481" w:rsidP="007078DE">
            <w:pPr>
              <w:spacing w:before="60" w:after="60" w:line="240" w:lineRule="auto"/>
              <w:rPr>
                <w:b w:val="0"/>
                <w:sz w:val="16"/>
                <w:szCs w:val="16"/>
              </w:rPr>
            </w:pPr>
            <w:r w:rsidRPr="00F9566C">
              <w:rPr>
                <w:b w:val="0"/>
                <w:sz w:val="16"/>
                <w:szCs w:val="16"/>
              </w:rPr>
              <w:t>Emplo</w:t>
            </w:r>
            <w:r w:rsidR="007078DE">
              <w:rPr>
                <w:b w:val="0"/>
                <w:sz w:val="16"/>
                <w:szCs w:val="16"/>
              </w:rPr>
              <w:t>yment</w:t>
            </w:r>
            <w:r w:rsidRPr="00F9566C">
              <w:rPr>
                <w:b w:val="0"/>
                <w:sz w:val="16"/>
                <w:szCs w:val="16"/>
              </w:rPr>
              <w:t xml:space="preserve"> (</w:t>
            </w:r>
            <w:r w:rsidR="00117F43">
              <w:rPr>
                <w:b w:val="0"/>
                <w:sz w:val="16"/>
                <w:szCs w:val="16"/>
              </w:rPr>
              <w:t>30/06/2017</w:t>
            </w:r>
            <w:r w:rsidRPr="00F9566C">
              <w:rPr>
                <w:b w:val="0"/>
                <w:sz w:val="16"/>
                <w:szCs w:val="16"/>
              </w:rPr>
              <w:t>)</w:t>
            </w:r>
          </w:p>
        </w:tc>
        <w:tc>
          <w:tcPr>
            <w:tcW w:w="2977" w:type="dxa"/>
            <w:tcBorders>
              <w:left w:val="nil"/>
              <w:right w:val="nil"/>
            </w:tcBorders>
          </w:tcPr>
          <w:p w:rsidR="00655481" w:rsidRPr="00F9566C" w:rsidRDefault="00655481" w:rsidP="007078DE">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F9566C">
              <w:rPr>
                <w:sz w:val="16"/>
                <w:szCs w:val="16"/>
              </w:rPr>
              <w:t>Ban</w:t>
            </w:r>
            <w:r w:rsidR="007078DE">
              <w:rPr>
                <w:sz w:val="16"/>
                <w:szCs w:val="16"/>
              </w:rPr>
              <w:t>k</w:t>
            </w:r>
            <w:r w:rsidRPr="00F9566C">
              <w:rPr>
                <w:sz w:val="16"/>
                <w:szCs w:val="16"/>
              </w:rPr>
              <w:t>s</w:t>
            </w:r>
          </w:p>
        </w:tc>
        <w:tc>
          <w:tcPr>
            <w:tcW w:w="3119" w:type="dxa"/>
            <w:tcBorders>
              <w:left w:val="nil"/>
              <w:right w:val="nil"/>
            </w:tcBorders>
          </w:tcPr>
          <w:p w:rsidR="00655481" w:rsidRPr="00F9566C" w:rsidRDefault="00117F43"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r w:rsidR="00235F69">
              <w:rPr>
                <w:sz w:val="16"/>
                <w:szCs w:val="16"/>
              </w:rPr>
              <w:t>6,</w:t>
            </w:r>
            <w:r>
              <w:rPr>
                <w:sz w:val="16"/>
                <w:szCs w:val="16"/>
              </w:rPr>
              <w:t>133 pe</w:t>
            </w:r>
            <w:r w:rsidR="00235F69">
              <w:rPr>
                <w:sz w:val="16"/>
                <w:szCs w:val="16"/>
              </w:rPr>
              <w:t>ople</w:t>
            </w:r>
          </w:p>
        </w:tc>
        <w:tc>
          <w:tcPr>
            <w:tcW w:w="1701" w:type="dxa"/>
            <w:tcBorders>
              <w:left w:val="nil"/>
              <w:right w:val="nil"/>
            </w:tcBorders>
          </w:tcPr>
          <w:p w:rsidR="00655481" w:rsidRPr="00F9566C" w:rsidRDefault="00235722" w:rsidP="00922051">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6"/>
            </w:r>
            <w:r>
              <w:rPr>
                <w:sz w:val="16"/>
                <w:szCs w:val="16"/>
              </w:rPr>
              <w:t xml:space="preserve"> </w:t>
            </w:r>
            <w:r w:rsidR="00F46160">
              <w:rPr>
                <w:sz w:val="16"/>
                <w:szCs w:val="16"/>
              </w:rPr>
              <w:t xml:space="preserve">100 </w:t>
            </w:r>
            <w:r w:rsidR="00235F69">
              <w:rPr>
                <w:sz w:val="16"/>
                <w:szCs w:val="16"/>
              </w:rPr>
              <w:t>people</w:t>
            </w:r>
          </w:p>
        </w:tc>
      </w:tr>
      <w:tr w:rsidR="00655481"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655481" w:rsidRPr="00F9566C" w:rsidRDefault="00655481" w:rsidP="00F9566C">
            <w:pPr>
              <w:spacing w:before="60" w:after="60" w:line="240" w:lineRule="auto"/>
              <w:rPr>
                <w:b w:val="0"/>
                <w:sz w:val="16"/>
                <w:szCs w:val="16"/>
              </w:rPr>
            </w:pPr>
          </w:p>
        </w:tc>
        <w:tc>
          <w:tcPr>
            <w:tcW w:w="2977" w:type="dxa"/>
            <w:tcBorders>
              <w:left w:val="nil"/>
              <w:right w:val="nil"/>
            </w:tcBorders>
          </w:tcPr>
          <w:p w:rsidR="00655481" w:rsidRPr="007078DE" w:rsidRDefault="007078D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078DE">
              <w:rPr>
                <w:sz w:val="16"/>
                <w:szCs w:val="16"/>
              </w:rPr>
              <w:t>Management companies (Chapter 15)</w:t>
            </w:r>
          </w:p>
        </w:tc>
        <w:tc>
          <w:tcPr>
            <w:tcW w:w="3119" w:type="dxa"/>
            <w:tcBorders>
              <w:left w:val="nil"/>
              <w:right w:val="nil"/>
            </w:tcBorders>
          </w:tcPr>
          <w:p w:rsidR="00655481" w:rsidRPr="00F9566C" w:rsidRDefault="00235F69" w:rsidP="00EF68CD">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4,</w:t>
            </w:r>
            <w:r w:rsidR="00117F43">
              <w:rPr>
                <w:sz w:val="16"/>
                <w:szCs w:val="16"/>
              </w:rPr>
              <w:t xml:space="preserve">192 </w:t>
            </w:r>
            <w:r>
              <w:rPr>
                <w:sz w:val="16"/>
                <w:szCs w:val="16"/>
              </w:rPr>
              <w:t>people</w:t>
            </w:r>
            <w:r w:rsidRPr="00235F69">
              <w:rPr>
                <w:sz w:val="16"/>
                <w:szCs w:val="16"/>
                <w:vertAlign w:val="superscript"/>
              </w:rPr>
              <w:fldChar w:fldCharType="begin"/>
            </w:r>
            <w:r w:rsidRPr="00235F69">
              <w:rPr>
                <w:sz w:val="16"/>
                <w:szCs w:val="16"/>
                <w:vertAlign w:val="superscript"/>
              </w:rPr>
              <w:instrText xml:space="preserve"> NOTEREF _Ref499023684 \h </w:instrText>
            </w:r>
            <w:r>
              <w:rPr>
                <w:sz w:val="16"/>
                <w:szCs w:val="16"/>
                <w:vertAlign w:val="superscript"/>
              </w:rPr>
              <w:instrText xml:space="preserve"> \* MERGEFORMAT </w:instrText>
            </w:r>
            <w:r w:rsidRPr="00235F69">
              <w:rPr>
                <w:sz w:val="16"/>
                <w:szCs w:val="16"/>
                <w:vertAlign w:val="superscript"/>
              </w:rPr>
            </w:r>
            <w:r w:rsidRPr="00235F69">
              <w:rPr>
                <w:sz w:val="16"/>
                <w:szCs w:val="16"/>
                <w:vertAlign w:val="superscript"/>
              </w:rPr>
              <w:fldChar w:fldCharType="separate"/>
            </w:r>
            <w:r w:rsidR="00333C75">
              <w:rPr>
                <w:sz w:val="16"/>
                <w:szCs w:val="16"/>
                <w:vertAlign w:val="superscript"/>
              </w:rPr>
              <w:t>10</w:t>
            </w:r>
            <w:r w:rsidRPr="00235F69">
              <w:rPr>
                <w:sz w:val="16"/>
                <w:szCs w:val="16"/>
                <w:vertAlign w:val="superscript"/>
              </w:rPr>
              <w:fldChar w:fldCharType="end"/>
            </w:r>
          </w:p>
        </w:tc>
        <w:tc>
          <w:tcPr>
            <w:tcW w:w="1701" w:type="dxa"/>
            <w:tcBorders>
              <w:left w:val="nil"/>
              <w:right w:val="nil"/>
            </w:tcBorders>
          </w:tcPr>
          <w:p w:rsidR="00655481" w:rsidRPr="00F9566C" w:rsidRDefault="00235722"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w:t>
            </w:r>
            <w:r w:rsidR="00F46160">
              <w:rPr>
                <w:sz w:val="16"/>
                <w:szCs w:val="16"/>
              </w:rPr>
              <w:t xml:space="preserve">318 </w:t>
            </w:r>
            <w:r w:rsidR="00235F69">
              <w:rPr>
                <w:sz w:val="16"/>
                <w:szCs w:val="16"/>
              </w:rPr>
              <w:t>people</w:t>
            </w:r>
          </w:p>
        </w:tc>
      </w:tr>
      <w:tr w:rsidR="00655481"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655481" w:rsidRPr="00F9566C" w:rsidRDefault="00655481" w:rsidP="00F9566C">
            <w:pPr>
              <w:spacing w:before="60" w:after="60" w:line="240" w:lineRule="auto"/>
              <w:rPr>
                <w:b w:val="0"/>
                <w:sz w:val="16"/>
                <w:szCs w:val="16"/>
              </w:rPr>
            </w:pPr>
          </w:p>
        </w:tc>
        <w:tc>
          <w:tcPr>
            <w:tcW w:w="2977" w:type="dxa"/>
            <w:tcBorders>
              <w:left w:val="nil"/>
              <w:right w:val="nil"/>
            </w:tcBorders>
          </w:tcPr>
          <w:p w:rsidR="00655481" w:rsidRPr="00F9566C" w:rsidRDefault="007078D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Investment firms</w:t>
            </w:r>
          </w:p>
        </w:tc>
        <w:tc>
          <w:tcPr>
            <w:tcW w:w="3119" w:type="dxa"/>
            <w:tcBorders>
              <w:left w:val="nil"/>
              <w:right w:val="nil"/>
            </w:tcBorders>
          </w:tcPr>
          <w:p w:rsidR="00655481" w:rsidRPr="00F9566C" w:rsidRDefault="00235F69"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2,</w:t>
            </w:r>
            <w:r w:rsidR="00117F43">
              <w:rPr>
                <w:sz w:val="16"/>
                <w:szCs w:val="16"/>
              </w:rPr>
              <w:t xml:space="preserve">278 </w:t>
            </w:r>
            <w:r>
              <w:rPr>
                <w:sz w:val="16"/>
                <w:szCs w:val="16"/>
              </w:rPr>
              <w:t>people</w:t>
            </w:r>
          </w:p>
        </w:tc>
        <w:tc>
          <w:tcPr>
            <w:tcW w:w="1701" w:type="dxa"/>
            <w:tcBorders>
              <w:left w:val="nil"/>
              <w:right w:val="nil"/>
            </w:tcBorders>
          </w:tcPr>
          <w:p w:rsidR="00655481" w:rsidRPr="00F9566C" w:rsidRDefault="00235722" w:rsidP="00922051">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w:t>
            </w:r>
            <w:r w:rsidR="00F46160">
              <w:rPr>
                <w:sz w:val="16"/>
                <w:szCs w:val="16"/>
              </w:rPr>
              <w:t xml:space="preserve">15 </w:t>
            </w:r>
            <w:r w:rsidR="00235F69">
              <w:rPr>
                <w:sz w:val="16"/>
                <w:szCs w:val="16"/>
              </w:rPr>
              <w:t>people</w:t>
            </w:r>
          </w:p>
        </w:tc>
      </w:tr>
      <w:tr w:rsidR="00655481"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655481" w:rsidRPr="00F9566C" w:rsidRDefault="00655481" w:rsidP="00F9566C">
            <w:pPr>
              <w:spacing w:before="60" w:after="60" w:line="240" w:lineRule="auto"/>
              <w:rPr>
                <w:b w:val="0"/>
                <w:sz w:val="16"/>
                <w:szCs w:val="16"/>
              </w:rPr>
            </w:pPr>
          </w:p>
        </w:tc>
        <w:tc>
          <w:tcPr>
            <w:tcW w:w="2977" w:type="dxa"/>
            <w:tcBorders>
              <w:left w:val="nil"/>
              <w:right w:val="nil"/>
            </w:tcBorders>
          </w:tcPr>
          <w:p w:rsidR="00655481" w:rsidRPr="00F9566C" w:rsidRDefault="007078D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Specialised PFS</w:t>
            </w:r>
          </w:p>
        </w:tc>
        <w:tc>
          <w:tcPr>
            <w:tcW w:w="3119" w:type="dxa"/>
            <w:tcBorders>
              <w:left w:val="nil"/>
              <w:right w:val="nil"/>
            </w:tcBorders>
          </w:tcPr>
          <w:p w:rsidR="00655481" w:rsidRPr="00F9566C" w:rsidRDefault="00235F69" w:rsidP="00EF68CD">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4,</w:t>
            </w:r>
            <w:r w:rsidR="00117F43">
              <w:rPr>
                <w:sz w:val="16"/>
                <w:szCs w:val="16"/>
              </w:rPr>
              <w:t xml:space="preserve">103 </w:t>
            </w:r>
            <w:r>
              <w:rPr>
                <w:sz w:val="16"/>
                <w:szCs w:val="16"/>
              </w:rPr>
              <w:t>people</w:t>
            </w:r>
          </w:p>
        </w:tc>
        <w:tc>
          <w:tcPr>
            <w:tcW w:w="1701" w:type="dxa"/>
            <w:tcBorders>
              <w:left w:val="nil"/>
              <w:right w:val="nil"/>
            </w:tcBorders>
          </w:tcPr>
          <w:p w:rsidR="00655481" w:rsidRPr="00F9566C" w:rsidRDefault="00235722"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w:t>
            </w:r>
            <w:r w:rsidR="00F46160">
              <w:rPr>
                <w:sz w:val="16"/>
                <w:szCs w:val="16"/>
              </w:rPr>
              <w:t xml:space="preserve">272 </w:t>
            </w:r>
            <w:r w:rsidR="00235F69">
              <w:rPr>
                <w:sz w:val="16"/>
                <w:szCs w:val="16"/>
              </w:rPr>
              <w:t>people</w:t>
            </w:r>
          </w:p>
        </w:tc>
      </w:tr>
      <w:tr w:rsidR="00655481"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655481" w:rsidRPr="00F9566C" w:rsidRDefault="00655481" w:rsidP="00F9566C">
            <w:pPr>
              <w:spacing w:before="60" w:after="60" w:line="240" w:lineRule="auto"/>
              <w:rPr>
                <w:b w:val="0"/>
                <w:sz w:val="16"/>
                <w:szCs w:val="16"/>
              </w:rPr>
            </w:pPr>
          </w:p>
        </w:tc>
        <w:tc>
          <w:tcPr>
            <w:tcW w:w="2977" w:type="dxa"/>
            <w:tcBorders>
              <w:left w:val="nil"/>
              <w:right w:val="nil"/>
            </w:tcBorders>
          </w:tcPr>
          <w:p w:rsidR="00655481" w:rsidRPr="00F9566C" w:rsidRDefault="007078DE" w:rsidP="00F9566C">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Support PFS</w:t>
            </w:r>
          </w:p>
        </w:tc>
        <w:tc>
          <w:tcPr>
            <w:tcW w:w="3119" w:type="dxa"/>
            <w:tcBorders>
              <w:left w:val="nil"/>
              <w:right w:val="nil"/>
            </w:tcBorders>
          </w:tcPr>
          <w:p w:rsidR="00655481" w:rsidRPr="00F9566C" w:rsidRDefault="00235F69" w:rsidP="00EF68CD">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9,</w:t>
            </w:r>
            <w:r w:rsidR="00117F43">
              <w:rPr>
                <w:sz w:val="16"/>
                <w:szCs w:val="16"/>
              </w:rPr>
              <w:t xml:space="preserve">202 </w:t>
            </w:r>
            <w:r>
              <w:rPr>
                <w:sz w:val="16"/>
                <w:szCs w:val="16"/>
              </w:rPr>
              <w:t>people</w:t>
            </w:r>
          </w:p>
        </w:tc>
        <w:tc>
          <w:tcPr>
            <w:tcW w:w="1701" w:type="dxa"/>
            <w:tcBorders>
              <w:left w:val="nil"/>
              <w:right w:val="nil"/>
            </w:tcBorders>
          </w:tcPr>
          <w:p w:rsidR="00655481" w:rsidRPr="00F9566C" w:rsidRDefault="00235722" w:rsidP="00922051">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w:t>
            </w:r>
            <w:r w:rsidR="00F46160">
              <w:rPr>
                <w:sz w:val="16"/>
                <w:szCs w:val="16"/>
              </w:rPr>
              <w:t xml:space="preserve">306 </w:t>
            </w:r>
            <w:r w:rsidR="00235F69">
              <w:rPr>
                <w:sz w:val="16"/>
                <w:szCs w:val="16"/>
              </w:rPr>
              <w:t>people</w:t>
            </w:r>
          </w:p>
        </w:tc>
      </w:tr>
      <w:tr w:rsidR="00655481" w:rsidRPr="00F9566C" w:rsidTr="00C939EE">
        <w:tc>
          <w:tcPr>
            <w:cnfStyle w:val="001000000000" w:firstRow="0" w:lastRow="0" w:firstColumn="1" w:lastColumn="0" w:oddVBand="0" w:evenVBand="0" w:oddHBand="0" w:evenHBand="0" w:firstRowFirstColumn="0" w:firstRowLastColumn="0" w:lastRowFirstColumn="0" w:lastRowLastColumn="0"/>
            <w:tcW w:w="3119" w:type="dxa"/>
            <w:vMerge/>
            <w:tcBorders>
              <w:left w:val="nil"/>
              <w:right w:val="nil"/>
            </w:tcBorders>
          </w:tcPr>
          <w:p w:rsidR="00655481" w:rsidRPr="00F9566C" w:rsidRDefault="00655481" w:rsidP="00F9566C">
            <w:pPr>
              <w:spacing w:before="60" w:after="60" w:line="240" w:lineRule="auto"/>
              <w:rPr>
                <w:b w:val="0"/>
                <w:sz w:val="16"/>
                <w:szCs w:val="16"/>
              </w:rPr>
            </w:pPr>
          </w:p>
        </w:tc>
        <w:tc>
          <w:tcPr>
            <w:tcW w:w="2977" w:type="dxa"/>
            <w:tcBorders>
              <w:left w:val="nil"/>
              <w:right w:val="nil"/>
            </w:tcBorders>
          </w:tcPr>
          <w:p w:rsidR="00655481" w:rsidRPr="00F9566C" w:rsidRDefault="00655481"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F9566C">
              <w:rPr>
                <w:sz w:val="16"/>
                <w:szCs w:val="16"/>
              </w:rPr>
              <w:t>T</w:t>
            </w:r>
            <w:r w:rsidR="00235F69">
              <w:rPr>
                <w:sz w:val="16"/>
                <w:szCs w:val="16"/>
              </w:rPr>
              <w:t>OTAL</w:t>
            </w:r>
          </w:p>
        </w:tc>
        <w:tc>
          <w:tcPr>
            <w:tcW w:w="3119" w:type="dxa"/>
            <w:tcBorders>
              <w:left w:val="nil"/>
              <w:right w:val="nil"/>
            </w:tcBorders>
          </w:tcPr>
          <w:p w:rsidR="00655481" w:rsidRPr="00F9566C" w:rsidRDefault="00F46160" w:rsidP="00235F69">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w:t>
            </w:r>
            <w:r w:rsidR="00235F69">
              <w:rPr>
                <w:sz w:val="16"/>
                <w:szCs w:val="16"/>
              </w:rPr>
              <w:t>,</w:t>
            </w:r>
            <w:r>
              <w:rPr>
                <w:sz w:val="16"/>
                <w:szCs w:val="16"/>
              </w:rPr>
              <w:t xml:space="preserve">908 </w:t>
            </w:r>
            <w:r w:rsidR="00235F69">
              <w:rPr>
                <w:sz w:val="16"/>
                <w:szCs w:val="16"/>
              </w:rPr>
              <w:t>people</w:t>
            </w:r>
          </w:p>
        </w:tc>
        <w:tc>
          <w:tcPr>
            <w:tcW w:w="1701" w:type="dxa"/>
            <w:tcBorders>
              <w:left w:val="nil"/>
              <w:right w:val="nil"/>
            </w:tcBorders>
          </w:tcPr>
          <w:p w:rsidR="00655481" w:rsidRPr="00F9566C" w:rsidRDefault="00235722" w:rsidP="00922051">
            <w:pPr>
              <w:spacing w:before="60" w:after="6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sym w:font="Wingdings" w:char="F0E4"/>
            </w:r>
            <w:r>
              <w:rPr>
                <w:sz w:val="16"/>
                <w:szCs w:val="16"/>
              </w:rPr>
              <w:t xml:space="preserve"> </w:t>
            </w:r>
            <w:r w:rsidR="00F46160">
              <w:rPr>
                <w:sz w:val="16"/>
                <w:szCs w:val="16"/>
              </w:rPr>
              <w:t xml:space="preserve">811 </w:t>
            </w:r>
            <w:r w:rsidR="00235F69">
              <w:rPr>
                <w:sz w:val="16"/>
                <w:szCs w:val="16"/>
              </w:rPr>
              <w:t>people</w:t>
            </w:r>
            <w:r w:rsidR="00235F69">
              <w:rPr>
                <w:rStyle w:val="FootnoteReference"/>
                <w:sz w:val="16"/>
                <w:szCs w:val="16"/>
              </w:rPr>
              <w:t xml:space="preserve"> </w:t>
            </w:r>
            <w:r w:rsidR="00F46160">
              <w:rPr>
                <w:rStyle w:val="FootnoteReference"/>
                <w:sz w:val="16"/>
                <w:szCs w:val="16"/>
              </w:rPr>
              <w:footnoteReference w:id="11"/>
            </w:r>
          </w:p>
        </w:tc>
      </w:tr>
    </w:tbl>
    <w:p w:rsidR="00E87D41" w:rsidRPr="00F46160" w:rsidRDefault="00E87D41" w:rsidP="00C939EE">
      <w:pPr>
        <w:spacing w:before="0" w:after="0" w:line="240" w:lineRule="auto"/>
        <w:rPr>
          <w:sz w:val="2"/>
          <w:szCs w:val="2"/>
        </w:rPr>
      </w:pPr>
    </w:p>
    <w:sectPr w:rsidR="00E87D41" w:rsidRPr="00F46160" w:rsidSect="00FA48F2">
      <w:headerReference w:type="first" r:id="rId81"/>
      <w:pgSz w:w="11906" w:h="16838"/>
      <w:pgMar w:top="993" w:right="1440" w:bottom="851" w:left="1440" w:header="284"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5BF" w:rsidRDefault="00CD45BF" w:rsidP="00ED6B24">
      <w:pPr>
        <w:spacing w:before="0" w:after="0" w:line="240" w:lineRule="auto"/>
      </w:pPr>
      <w:r>
        <w:separator/>
      </w:r>
    </w:p>
  </w:endnote>
  <w:endnote w:type="continuationSeparator" w:id="0">
    <w:p w:rsidR="00CD45BF" w:rsidRDefault="00CD45BF" w:rsidP="00ED6B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883784"/>
      <w:docPartObj>
        <w:docPartGallery w:val="Page Numbers (Bottom of Page)"/>
        <w:docPartUnique/>
      </w:docPartObj>
    </w:sdtPr>
    <w:sdtEndPr>
      <w:rPr>
        <w:noProof/>
        <w:color w:val="1F4E79" w:themeColor="accent1" w:themeShade="80"/>
        <w14:glow w14:rad="228600">
          <w14:schemeClr w14:val="accent1">
            <w14:alpha w14:val="60000"/>
            <w14:lumMod w14:val="60000"/>
            <w14:lumOff w14:val="40000"/>
          </w14:schemeClr>
        </w14:glow>
        <w14:shadow w14:blurRad="0" w14:dist="0" w14:dir="0" w14:sx="0" w14:sy="0" w14:kx="0" w14:ky="0" w14:algn="ctr">
          <w14:schemeClr w14:val="bg1"/>
        </w14:shadow>
      </w:rPr>
    </w:sdtEndPr>
    <w:sdtContent>
      <w:p w:rsidR="00CD45BF" w:rsidRPr="007D72FB" w:rsidRDefault="00CD45BF" w:rsidP="00DB2A74">
        <w:pPr>
          <w:pStyle w:val="Footer"/>
          <w:spacing w:before="100"/>
          <w:jc w:val="right"/>
          <w:rPr>
            <w:i/>
            <w:color w:val="1F4E79" w:themeColor="accent1"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2889"/>
          <w:gridCol w:w="2971"/>
        </w:tblGrid>
        <w:tr w:rsidR="00CD45BF" w:rsidTr="008B5F5C">
          <w:tc>
            <w:tcPr>
              <w:tcW w:w="3156" w:type="dxa"/>
            </w:tcPr>
            <w:p w:rsidR="00CD45BF" w:rsidRDefault="00CD45BF" w:rsidP="008B5F5C">
              <w:pPr>
                <w:pStyle w:val="Footer"/>
                <w:jc w:val="center"/>
                <w:rPr>
                  <w:i/>
                  <w:color w:val="1F4E79" w:themeColor="accent1" w:themeShade="80"/>
                </w:rPr>
              </w:pPr>
            </w:p>
          </w:tc>
          <w:tc>
            <w:tcPr>
              <w:tcW w:w="2889" w:type="dxa"/>
            </w:tcPr>
            <w:p w:rsidR="00CD45BF" w:rsidRPr="007D72FB" w:rsidRDefault="00CD45BF" w:rsidP="00AB1F1E">
              <w:pPr>
                <w:pStyle w:val="Footer"/>
                <w:spacing w:before="100"/>
                <w:jc w:val="center"/>
                <w:rPr>
                  <w:i/>
                  <w:color w:val="1F4E79" w:themeColor="accent1" w:themeShade="80"/>
                </w:rPr>
              </w:pPr>
              <w:r>
                <w:rPr>
                  <w:i/>
                  <w:color w:val="1F4E79" w:themeColor="accent1" w:themeShade="80"/>
                </w:rPr>
                <w:t>October 2017</w:t>
              </w:r>
            </w:p>
          </w:tc>
          <w:tc>
            <w:tcPr>
              <w:tcW w:w="2971" w:type="dxa"/>
            </w:tcPr>
            <w:p w:rsidR="00CD45BF" w:rsidRDefault="00CD45BF" w:rsidP="008B5F5C">
              <w:pPr>
                <w:pStyle w:val="Footer"/>
                <w:spacing w:before="100"/>
                <w:jc w:val="right"/>
                <w:rPr>
                  <w:i/>
                  <w:color w:val="1F4E79" w:themeColor="accent1" w:themeShade="80"/>
                </w:rPr>
              </w:pPr>
              <w:r w:rsidRPr="007D72FB">
                <w:rPr>
                  <w:i/>
                  <w:color w:val="1F4E79" w:themeColor="accent1" w:themeShade="80"/>
                </w:rPr>
                <w:fldChar w:fldCharType="begin"/>
              </w:r>
              <w:r w:rsidRPr="007D72FB">
                <w:rPr>
                  <w:i/>
                  <w:color w:val="1F4E79" w:themeColor="accent1" w:themeShade="80"/>
                </w:rPr>
                <w:instrText xml:space="preserve"> PAGE   \* MERGEFORMAT </w:instrText>
              </w:r>
              <w:r w:rsidRPr="007D72FB">
                <w:rPr>
                  <w:i/>
                  <w:color w:val="1F4E79" w:themeColor="accent1" w:themeShade="80"/>
                </w:rPr>
                <w:fldChar w:fldCharType="separate"/>
              </w:r>
              <w:r w:rsidR="008A2049">
                <w:rPr>
                  <w:i/>
                  <w:noProof/>
                  <w:color w:val="1F4E79" w:themeColor="accent1" w:themeShade="80"/>
                </w:rPr>
                <w:t>14</w:t>
              </w:r>
              <w:r w:rsidRPr="007D72FB">
                <w:rPr>
                  <w:i/>
                  <w:noProof/>
                  <w:color w:val="1F4E79" w:themeColor="accent1" w:themeShade="80"/>
                </w:rPr>
                <w:fldChar w:fldCharType="end"/>
              </w:r>
            </w:p>
          </w:tc>
        </w:tr>
      </w:tbl>
    </w:sdtContent>
  </w:sdt>
  <w:p w:rsidR="00CD45BF" w:rsidRDefault="00CD45BF" w:rsidP="008B5F5C">
    <w:pPr>
      <w:spacing w:before="0"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5BF" w:rsidRDefault="00CD45BF" w:rsidP="00FA48F2">
      <w:pPr>
        <w:spacing w:before="60" w:after="60" w:line="240" w:lineRule="auto"/>
      </w:pPr>
      <w:r>
        <w:separator/>
      </w:r>
    </w:p>
  </w:footnote>
  <w:footnote w:type="continuationSeparator" w:id="0">
    <w:p w:rsidR="00CD45BF" w:rsidRDefault="00CD45BF" w:rsidP="00ED6B24">
      <w:pPr>
        <w:spacing w:before="0" w:after="0" w:line="240" w:lineRule="auto"/>
      </w:pPr>
      <w:r>
        <w:continuationSeparator/>
      </w:r>
    </w:p>
  </w:footnote>
  <w:footnote w:id="1">
    <w:p w:rsidR="00CD45BF" w:rsidRPr="00D7691C" w:rsidRDefault="00CD45BF">
      <w:pPr>
        <w:pStyle w:val="FootnoteText"/>
        <w:rPr>
          <w:sz w:val="16"/>
          <w:szCs w:val="16"/>
          <w:lang w:val="en-US"/>
        </w:rPr>
      </w:pPr>
      <w:r>
        <w:rPr>
          <w:rStyle w:val="FootnoteReference"/>
        </w:rPr>
        <w:footnoteRef/>
      </w:r>
      <w:r w:rsidRPr="00510DF9">
        <w:rPr>
          <w:lang w:val="en-US"/>
        </w:rPr>
        <w:t xml:space="preserve"> </w:t>
      </w:r>
      <w:r w:rsidRPr="006A3943">
        <w:rPr>
          <w:sz w:val="16"/>
          <w:szCs w:val="16"/>
          <w:lang w:val="en-US"/>
        </w:rPr>
        <w:t>Due to major changes in the banking prudential reporting in 2016 and 2017 (Circular CSSF 15/621), the aggregation scope has been adapted to better reflect</w:t>
      </w:r>
      <w:r>
        <w:rPr>
          <w:sz w:val="16"/>
          <w:szCs w:val="16"/>
          <w:lang w:val="en-US"/>
        </w:rPr>
        <w:t xml:space="preserve"> the evolution of the profit and</w:t>
      </w:r>
      <w:r w:rsidRPr="006A3943">
        <w:rPr>
          <w:sz w:val="16"/>
          <w:szCs w:val="16"/>
          <w:lang w:val="en-US"/>
        </w:rPr>
        <w:t xml:space="preserve"> loss accounts of Luxembourg banks. Consequently, the figures for June 2016 have been readjusted to reflect a larger aggregation scope which is similar to the new reporting of June 2017.</w:t>
      </w:r>
      <w:r w:rsidRPr="00510DF9">
        <w:rPr>
          <w:sz w:val="16"/>
          <w:szCs w:val="16"/>
          <w:lang w:val="en-US"/>
        </w:rPr>
        <w:t xml:space="preserve"> </w:t>
      </w:r>
    </w:p>
  </w:footnote>
  <w:footnote w:id="2">
    <w:p w:rsidR="00CD45BF" w:rsidRPr="00D82BFC" w:rsidRDefault="00CD45BF">
      <w:pPr>
        <w:pStyle w:val="FootnoteText"/>
        <w:rPr>
          <w:sz w:val="16"/>
          <w:szCs w:val="16"/>
          <w:lang w:val="en-US"/>
        </w:rPr>
      </w:pPr>
      <w:r>
        <w:rPr>
          <w:rStyle w:val="FootnoteReference"/>
        </w:rPr>
        <w:footnoteRef/>
      </w:r>
      <w:r w:rsidRPr="00D82BFC">
        <w:rPr>
          <w:lang w:val="en-US"/>
        </w:rPr>
        <w:t xml:space="preserve"> </w:t>
      </w:r>
      <w:r w:rsidRPr="00D82BFC">
        <w:rPr>
          <w:sz w:val="16"/>
          <w:szCs w:val="16"/>
          <w:lang w:val="en-US"/>
        </w:rPr>
        <w:t>Including dividends received.</w:t>
      </w:r>
    </w:p>
  </w:footnote>
  <w:footnote w:id="3">
    <w:p w:rsidR="00CD45BF" w:rsidRPr="00D82BFC" w:rsidRDefault="00CD45BF" w:rsidP="0051662F">
      <w:pPr>
        <w:pStyle w:val="BlockText"/>
        <w:tabs>
          <w:tab w:val="clear" w:pos="2835"/>
          <w:tab w:val="clear" w:pos="3119"/>
          <w:tab w:val="clear" w:pos="3402"/>
          <w:tab w:val="clear" w:pos="3686"/>
          <w:tab w:val="left" w:pos="10320"/>
          <w:tab w:val="left" w:pos="10632"/>
        </w:tabs>
        <w:spacing w:line="240" w:lineRule="auto"/>
        <w:ind w:left="0" w:right="45"/>
        <w:rPr>
          <w:rFonts w:eastAsia="Calibri"/>
          <w:sz w:val="16"/>
          <w:szCs w:val="16"/>
          <w:lang w:val="en-US" w:eastAsia="en-US"/>
        </w:rPr>
      </w:pPr>
      <w:r w:rsidRPr="00734B9C">
        <w:rPr>
          <w:rStyle w:val="FootnoteReference"/>
          <w:rFonts w:eastAsia="Calibri"/>
          <w:lang w:val="fr-LU" w:eastAsia="en-US"/>
        </w:rPr>
        <w:footnoteRef/>
      </w:r>
      <w:r w:rsidRPr="00D82BFC">
        <w:rPr>
          <w:lang w:val="en-US"/>
        </w:rPr>
        <w:t xml:space="preserve"> </w:t>
      </w:r>
      <w:r w:rsidRPr="00D82BFC">
        <w:rPr>
          <w:rFonts w:eastAsia="Calibri"/>
          <w:sz w:val="16"/>
          <w:szCs w:val="16"/>
          <w:lang w:val="en-US" w:eastAsia="en-US"/>
        </w:rPr>
        <w:t>Since the statistical data of SICARs were published only on an annual basis before December 2016, the chart includes the number and net assets of SICARs as at 31 December 2015 for the previous months, resulting in constant figures until November 2016 for these vehicles.</w:t>
      </w:r>
    </w:p>
  </w:footnote>
  <w:footnote w:id="4">
    <w:p w:rsidR="00CD45BF" w:rsidRPr="00063469" w:rsidRDefault="00CD45BF" w:rsidP="0051662F">
      <w:pPr>
        <w:pStyle w:val="BlockText"/>
        <w:tabs>
          <w:tab w:val="clear" w:pos="2835"/>
          <w:tab w:val="clear" w:pos="3119"/>
          <w:tab w:val="clear" w:pos="3402"/>
          <w:tab w:val="clear" w:pos="3686"/>
          <w:tab w:val="left" w:pos="10320"/>
          <w:tab w:val="left" w:pos="10632"/>
        </w:tabs>
        <w:ind w:left="0" w:right="46"/>
        <w:rPr>
          <w:rFonts w:eastAsia="Calibri"/>
          <w:sz w:val="16"/>
          <w:szCs w:val="16"/>
          <w:lang w:val="en-US" w:eastAsia="en-US"/>
        </w:rPr>
      </w:pPr>
      <w:r w:rsidRPr="00734B9C">
        <w:rPr>
          <w:rStyle w:val="FootnoteReference"/>
          <w:rFonts w:eastAsia="Calibri"/>
          <w:lang w:val="fr-LU" w:eastAsia="en-US"/>
        </w:rPr>
        <w:footnoteRef/>
      </w:r>
      <w:r w:rsidRPr="00063469">
        <w:rPr>
          <w:lang w:val="en-US"/>
        </w:rPr>
        <w:t xml:space="preserve"> </w:t>
      </w:r>
      <w:r>
        <w:rPr>
          <w:sz w:val="16"/>
          <w:szCs w:val="16"/>
        </w:rPr>
        <w:t>Before 31 December 2016, the statistical data of SICARs were published on an annual basis only.</w:t>
      </w:r>
    </w:p>
  </w:footnote>
  <w:footnote w:id="5">
    <w:p w:rsidR="00CD45BF" w:rsidRPr="00063469" w:rsidRDefault="00CD45BF" w:rsidP="0051662F">
      <w:pPr>
        <w:pStyle w:val="FootnoteText"/>
        <w:rPr>
          <w:sz w:val="16"/>
          <w:szCs w:val="16"/>
          <w:lang w:val="en-US"/>
        </w:rPr>
      </w:pPr>
      <w:r>
        <w:rPr>
          <w:rStyle w:val="FootnoteReference"/>
        </w:rPr>
        <w:footnoteRef/>
      </w:r>
      <w:r w:rsidRPr="00063469">
        <w:rPr>
          <w:rStyle w:val="FootnoteReference"/>
          <w:lang w:val="en-US"/>
        </w:rPr>
        <w:t xml:space="preserve"> </w:t>
      </w:r>
      <w:r w:rsidRPr="00063469">
        <w:rPr>
          <w:sz w:val="16"/>
          <w:szCs w:val="16"/>
          <w:lang w:val="en-US"/>
        </w:rPr>
        <w:t>Undertaking for collective investment</w:t>
      </w:r>
      <w:r>
        <w:rPr>
          <w:sz w:val="16"/>
          <w:szCs w:val="16"/>
          <w:lang w:val="en-US"/>
        </w:rPr>
        <w:t>,</w:t>
      </w:r>
      <w:r w:rsidRPr="00063469">
        <w:rPr>
          <w:sz w:val="16"/>
          <w:szCs w:val="16"/>
          <w:lang w:val="en-US"/>
        </w:rPr>
        <w:t xml:space="preserve"> the designated management company </w:t>
      </w:r>
      <w:r>
        <w:rPr>
          <w:sz w:val="16"/>
          <w:szCs w:val="16"/>
          <w:lang w:val="en-US"/>
        </w:rPr>
        <w:t>of which was</w:t>
      </w:r>
      <w:r w:rsidRPr="00063469">
        <w:rPr>
          <w:sz w:val="16"/>
          <w:szCs w:val="16"/>
          <w:lang w:val="en-US"/>
        </w:rPr>
        <w:t xml:space="preserve"> authorised by the competent authorities of another Member State </w:t>
      </w:r>
      <w:r>
        <w:rPr>
          <w:sz w:val="16"/>
          <w:szCs w:val="16"/>
          <w:lang w:val="en-US"/>
        </w:rPr>
        <w:t>in accordance with</w:t>
      </w:r>
      <w:r w:rsidRPr="00063469">
        <w:rPr>
          <w:sz w:val="16"/>
          <w:szCs w:val="16"/>
          <w:lang w:val="en-US"/>
        </w:rPr>
        <w:t xml:space="preserve"> Directive 2009/65/EC. </w:t>
      </w:r>
    </w:p>
  </w:footnote>
  <w:footnote w:id="6">
    <w:p w:rsidR="00CD45BF" w:rsidRPr="00F46160" w:rsidRDefault="00CD45BF" w:rsidP="00734B9C">
      <w:pPr>
        <w:pStyle w:val="FootnoteText"/>
        <w:rPr>
          <w:sz w:val="16"/>
          <w:szCs w:val="16"/>
          <w:lang w:val="en-US"/>
        </w:rPr>
      </w:pPr>
      <w:r>
        <w:rPr>
          <w:rStyle w:val="FootnoteReference"/>
        </w:rPr>
        <w:footnoteRef/>
      </w:r>
      <w:r w:rsidRPr="003B1ED0">
        <w:rPr>
          <w:lang w:val="en-US"/>
        </w:rPr>
        <w:t xml:space="preserve"> </w:t>
      </w:r>
      <w:r w:rsidRPr="00F46160">
        <w:rPr>
          <w:sz w:val="16"/>
          <w:szCs w:val="16"/>
          <w:lang w:val="en-US"/>
        </w:rPr>
        <w:t>Commission Delegated Regulation (EU) 2017/104 and Commission Implementing Regulation (EU) 2017/105.</w:t>
      </w:r>
    </w:p>
  </w:footnote>
  <w:footnote w:id="7">
    <w:p w:rsidR="00CD45BF" w:rsidRPr="00782B3A" w:rsidRDefault="00CD45BF">
      <w:pPr>
        <w:pStyle w:val="FootnoteText"/>
        <w:rPr>
          <w:sz w:val="16"/>
          <w:szCs w:val="16"/>
          <w:lang w:val="en-US"/>
        </w:rPr>
      </w:pPr>
      <w:r w:rsidRPr="00FC3ABE">
        <w:rPr>
          <w:rStyle w:val="FootnoteReference"/>
        </w:rPr>
        <w:footnoteRef/>
      </w:r>
      <w:r w:rsidRPr="00782B3A">
        <w:rPr>
          <w:sz w:val="16"/>
          <w:szCs w:val="16"/>
          <w:lang w:val="en-US"/>
        </w:rPr>
        <w:t xml:space="preserve"> </w:t>
      </w:r>
      <w:r>
        <w:rPr>
          <w:sz w:val="16"/>
          <w:szCs w:val="16"/>
          <w:lang w:val="en-US"/>
        </w:rPr>
        <w:t>“</w:t>
      </w:r>
      <w:r w:rsidRPr="00782B3A">
        <w:rPr>
          <w:sz w:val="16"/>
          <w:szCs w:val="16"/>
          <w:lang w:val="en-US"/>
        </w:rPr>
        <w:t>Fund units</w:t>
      </w:r>
      <w:r>
        <w:rPr>
          <w:sz w:val="16"/>
          <w:szCs w:val="16"/>
          <w:lang w:val="en-US"/>
        </w:rPr>
        <w:t>”</w:t>
      </w:r>
      <w:r w:rsidRPr="00782B3A">
        <w:rPr>
          <w:sz w:val="16"/>
          <w:szCs w:val="16"/>
          <w:lang w:val="en-US"/>
        </w:rPr>
        <w:t xml:space="preserve"> refers to both traditionally structures UCIs and sub-funds of umbrella funds.</w:t>
      </w:r>
    </w:p>
  </w:footnote>
  <w:footnote w:id="8">
    <w:p w:rsidR="00CD45BF" w:rsidRPr="000F61A9" w:rsidRDefault="00CD45BF">
      <w:pPr>
        <w:pStyle w:val="FootnoteText"/>
        <w:rPr>
          <w:sz w:val="16"/>
          <w:szCs w:val="16"/>
          <w:lang w:val="en-US"/>
        </w:rPr>
      </w:pPr>
      <w:r w:rsidRPr="00FC3ABE">
        <w:rPr>
          <w:rStyle w:val="FootnoteReference"/>
        </w:rPr>
        <w:footnoteRef/>
      </w:r>
      <w:r w:rsidRPr="000F61A9">
        <w:rPr>
          <w:sz w:val="16"/>
          <w:szCs w:val="16"/>
          <w:lang w:val="en-US"/>
        </w:rPr>
        <w:t xml:space="preserve"> These figures reflect the number of prospectuses, base prospectuses and supplements for which the CSSF sent one or several notifications. Where notifications were sent at different dates and/or in several Member States, only the first notification is included in the statistical calculation. Each document notified in one or several Member States is thus only counted once.</w:t>
      </w:r>
    </w:p>
  </w:footnote>
  <w:footnote w:id="9">
    <w:p w:rsidR="00CD45BF" w:rsidRPr="00235F69" w:rsidRDefault="00CD45BF">
      <w:pPr>
        <w:pStyle w:val="FootnoteText"/>
        <w:rPr>
          <w:sz w:val="16"/>
          <w:szCs w:val="16"/>
          <w:lang w:val="en-US"/>
        </w:rPr>
      </w:pPr>
      <w:r>
        <w:rPr>
          <w:rStyle w:val="FootnoteReference"/>
        </w:rPr>
        <w:footnoteRef/>
      </w:r>
      <w:r w:rsidRPr="00235F69">
        <w:rPr>
          <w:lang w:val="en-US"/>
        </w:rPr>
        <w:t xml:space="preserve"> </w:t>
      </w:r>
      <w:r w:rsidRPr="00235F69">
        <w:rPr>
          <w:sz w:val="16"/>
          <w:szCs w:val="16"/>
          <w:lang w:val="en-US"/>
        </w:rPr>
        <w:t>A difference with the number stated in the application “Supervised entities” may occur. This difference is due to the fact that the list in the application includes the banks that are already closed, but whose closure has not yet been confirmed by the ECB.</w:t>
      </w:r>
    </w:p>
  </w:footnote>
  <w:footnote w:id="10">
    <w:p w:rsidR="00CD45BF" w:rsidRPr="00903937" w:rsidRDefault="00CD45BF">
      <w:pPr>
        <w:pStyle w:val="FootnoteText"/>
        <w:rPr>
          <w:sz w:val="16"/>
          <w:szCs w:val="16"/>
          <w:lang w:val="en-US"/>
        </w:rPr>
      </w:pPr>
      <w:r>
        <w:rPr>
          <w:rStyle w:val="FootnoteReference"/>
        </w:rPr>
        <w:footnoteRef/>
      </w:r>
      <w:r w:rsidRPr="00903937">
        <w:rPr>
          <w:lang w:val="en-US"/>
        </w:rPr>
        <w:t xml:space="preserve"> </w:t>
      </w:r>
      <w:r w:rsidRPr="00903937">
        <w:rPr>
          <w:sz w:val="16"/>
          <w:szCs w:val="16"/>
          <w:lang w:val="en-US"/>
        </w:rPr>
        <w:t>Preliminary figures.</w:t>
      </w:r>
    </w:p>
  </w:footnote>
  <w:footnote w:id="11">
    <w:p w:rsidR="00CD45BF" w:rsidRPr="00903937" w:rsidRDefault="00CD45BF">
      <w:pPr>
        <w:pStyle w:val="FootnoteText"/>
        <w:rPr>
          <w:sz w:val="16"/>
          <w:szCs w:val="16"/>
          <w:lang w:val="en-US"/>
        </w:rPr>
      </w:pPr>
      <w:r>
        <w:rPr>
          <w:rStyle w:val="FootnoteReference"/>
        </w:rPr>
        <w:footnoteRef/>
      </w:r>
      <w:r w:rsidRPr="00903937">
        <w:rPr>
          <w:lang w:val="en-US"/>
        </w:rPr>
        <w:t xml:space="preserve"> </w:t>
      </w:r>
      <w:r w:rsidRPr="00903937">
        <w:rPr>
          <w:sz w:val="16"/>
          <w:szCs w:val="16"/>
          <w:lang w:val="en-US"/>
        </w:rPr>
        <w:t>This development does not mean a net creation or loss of jobs, but includes the transfer of existing jobs from the non-financial sector to the financial sector and vice versa.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5BF" w:rsidRDefault="00CD45BF">
    <w:pPr>
      <w:pStyle w:val="Header"/>
    </w:pPr>
    <w:r>
      <w:rPr>
        <w:noProof/>
        <w:lang w:eastAsia="fr-LU"/>
      </w:rPr>
      <mc:AlternateContent>
        <mc:Choice Requires="wpc">
          <w:drawing>
            <wp:anchor distT="0" distB="0" distL="114300" distR="114300" simplePos="0" relativeHeight="251663360" behindDoc="0" locked="0" layoutInCell="1" allowOverlap="1">
              <wp:simplePos x="0" y="0"/>
              <wp:positionH relativeFrom="column">
                <wp:posOffset>-200025</wp:posOffset>
              </wp:positionH>
              <wp:positionV relativeFrom="paragraph">
                <wp:posOffset>-304165</wp:posOffset>
              </wp:positionV>
              <wp:extent cx="6322695" cy="554990"/>
              <wp:effectExtent l="0" t="0" r="1905" b="0"/>
              <wp:wrapNone/>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4"/>
                      <wps:cNvSpPr>
                        <a:spLocks noChangeArrowheads="1"/>
                      </wps:cNvSpPr>
                      <wps:spPr bwMode="auto">
                        <a:xfrm>
                          <a:off x="0" y="0"/>
                          <a:ext cx="153670" cy="554990"/>
                        </a:xfrm>
                        <a:prstGeom prst="rect">
                          <a:avLst/>
                        </a:prstGeom>
                        <a:solidFill>
                          <a:srgbClr val="CCE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5"/>
                      <wps:cNvSpPr>
                        <a:spLocks noChangeArrowheads="1"/>
                      </wps:cNvSpPr>
                      <wps:spPr bwMode="auto">
                        <a:xfrm>
                          <a:off x="153670" y="0"/>
                          <a:ext cx="108585" cy="554990"/>
                        </a:xfrm>
                        <a:prstGeom prst="rect">
                          <a:avLst/>
                        </a:prstGeom>
                        <a:solidFill>
                          <a:srgbClr val="CE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6"/>
                      <wps:cNvSpPr>
                        <a:spLocks noChangeArrowheads="1"/>
                      </wps:cNvSpPr>
                      <wps:spPr bwMode="auto">
                        <a:xfrm>
                          <a:off x="262255" y="0"/>
                          <a:ext cx="81280" cy="554990"/>
                        </a:xfrm>
                        <a:prstGeom prst="rect">
                          <a:avLst/>
                        </a:prstGeom>
                        <a:solidFill>
                          <a:srgbClr val="D0E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343535" y="0"/>
                          <a:ext cx="81915" cy="554990"/>
                        </a:xfrm>
                        <a:prstGeom prst="rect">
                          <a:avLst/>
                        </a:prstGeom>
                        <a:solidFill>
                          <a:srgbClr val="D2E4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8"/>
                      <wps:cNvSpPr>
                        <a:spLocks noChangeArrowheads="1"/>
                      </wps:cNvSpPr>
                      <wps:spPr bwMode="auto">
                        <a:xfrm>
                          <a:off x="425450" y="0"/>
                          <a:ext cx="53975" cy="554990"/>
                        </a:xfrm>
                        <a:prstGeom prst="rect">
                          <a:avLst/>
                        </a:prstGeom>
                        <a:solidFill>
                          <a:srgbClr val="D4E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9"/>
                      <wps:cNvSpPr>
                        <a:spLocks noChangeArrowheads="1"/>
                      </wps:cNvSpPr>
                      <wps:spPr bwMode="auto">
                        <a:xfrm>
                          <a:off x="479425" y="0"/>
                          <a:ext cx="53975" cy="554990"/>
                        </a:xfrm>
                        <a:prstGeom prst="rect">
                          <a:avLst/>
                        </a:prstGeom>
                        <a:solidFill>
                          <a:srgbClr val="D6E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533400" y="0"/>
                          <a:ext cx="54610" cy="554990"/>
                        </a:xfrm>
                        <a:prstGeom prst="rect">
                          <a:avLst/>
                        </a:prstGeom>
                        <a:solidFill>
                          <a:srgbClr val="D8E8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1"/>
                      <wps:cNvSpPr>
                        <a:spLocks noChangeArrowheads="1"/>
                      </wps:cNvSpPr>
                      <wps:spPr bwMode="auto">
                        <a:xfrm>
                          <a:off x="588010" y="0"/>
                          <a:ext cx="36195" cy="554990"/>
                        </a:xfrm>
                        <a:prstGeom prst="rect">
                          <a:avLst/>
                        </a:prstGeom>
                        <a:solidFill>
                          <a:srgbClr val="DAE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
                      <wps:cNvSpPr>
                        <a:spLocks noChangeArrowheads="1"/>
                      </wps:cNvSpPr>
                      <wps:spPr bwMode="auto">
                        <a:xfrm>
                          <a:off x="624205" y="0"/>
                          <a:ext cx="45085" cy="554990"/>
                        </a:xfrm>
                        <a:prstGeom prst="rect">
                          <a:avLst/>
                        </a:prstGeom>
                        <a:solidFill>
                          <a:srgbClr val="DC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3"/>
                      <wps:cNvSpPr>
                        <a:spLocks noChangeArrowheads="1"/>
                      </wps:cNvSpPr>
                      <wps:spPr bwMode="auto">
                        <a:xfrm>
                          <a:off x="669290" y="0"/>
                          <a:ext cx="45085" cy="554990"/>
                        </a:xfrm>
                        <a:prstGeom prst="rect">
                          <a:avLst/>
                        </a:prstGeom>
                        <a:solidFill>
                          <a:srgbClr val="DEE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4"/>
                      <wps:cNvSpPr>
                        <a:spLocks noChangeArrowheads="1"/>
                      </wps:cNvSpPr>
                      <wps:spPr bwMode="auto">
                        <a:xfrm>
                          <a:off x="714375" y="0"/>
                          <a:ext cx="36195" cy="554990"/>
                        </a:xfrm>
                        <a:prstGeom prst="rect">
                          <a:avLst/>
                        </a:prstGeom>
                        <a:solidFill>
                          <a:srgbClr val="E0EC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5"/>
                      <wps:cNvSpPr>
                        <a:spLocks noChangeArrowheads="1"/>
                      </wps:cNvSpPr>
                      <wps:spPr bwMode="auto">
                        <a:xfrm>
                          <a:off x="750570" y="0"/>
                          <a:ext cx="45720" cy="554990"/>
                        </a:xfrm>
                        <a:prstGeom prst="rect">
                          <a:avLst/>
                        </a:prstGeom>
                        <a:solidFill>
                          <a:srgbClr val="E2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6"/>
                      <wps:cNvSpPr>
                        <a:spLocks noChangeArrowheads="1"/>
                      </wps:cNvSpPr>
                      <wps:spPr bwMode="auto">
                        <a:xfrm>
                          <a:off x="796290" y="0"/>
                          <a:ext cx="36195" cy="554990"/>
                        </a:xfrm>
                        <a:prstGeom prst="rect">
                          <a:avLst/>
                        </a:prstGeom>
                        <a:solidFill>
                          <a:srgbClr val="E4E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7"/>
                      <wps:cNvSpPr>
                        <a:spLocks noChangeArrowheads="1"/>
                      </wps:cNvSpPr>
                      <wps:spPr bwMode="auto">
                        <a:xfrm>
                          <a:off x="832485" y="0"/>
                          <a:ext cx="45085" cy="554990"/>
                        </a:xfrm>
                        <a:prstGeom prst="rect">
                          <a:avLst/>
                        </a:prstGeom>
                        <a:solidFill>
                          <a:srgbClr val="E6F0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8"/>
                      <wps:cNvSpPr>
                        <a:spLocks noChangeArrowheads="1"/>
                      </wps:cNvSpPr>
                      <wps:spPr bwMode="auto">
                        <a:xfrm>
                          <a:off x="877570" y="0"/>
                          <a:ext cx="36195" cy="554990"/>
                        </a:xfrm>
                        <a:prstGeom prst="rect">
                          <a:avLst/>
                        </a:prstGeom>
                        <a:solidFill>
                          <a:srgbClr val="E8F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9"/>
                      <wps:cNvSpPr>
                        <a:spLocks noChangeArrowheads="1"/>
                      </wps:cNvSpPr>
                      <wps:spPr bwMode="auto">
                        <a:xfrm>
                          <a:off x="913765" y="0"/>
                          <a:ext cx="53975" cy="554990"/>
                        </a:xfrm>
                        <a:prstGeom prst="rect">
                          <a:avLst/>
                        </a:prstGeom>
                        <a:solidFill>
                          <a:srgbClr val="EA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0"/>
                      <wps:cNvSpPr>
                        <a:spLocks noChangeArrowheads="1"/>
                      </wps:cNvSpPr>
                      <wps:spPr bwMode="auto">
                        <a:xfrm>
                          <a:off x="967740" y="0"/>
                          <a:ext cx="36195" cy="554990"/>
                        </a:xfrm>
                        <a:prstGeom prst="rect">
                          <a:avLst/>
                        </a:prstGeom>
                        <a:solidFill>
                          <a:srgbClr val="ECF4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1"/>
                      <wps:cNvSpPr>
                        <a:spLocks noChangeArrowheads="1"/>
                      </wps:cNvSpPr>
                      <wps:spPr bwMode="auto">
                        <a:xfrm>
                          <a:off x="1003935" y="0"/>
                          <a:ext cx="45085" cy="554990"/>
                        </a:xfrm>
                        <a:prstGeom prst="rect">
                          <a:avLst/>
                        </a:prstGeom>
                        <a:solidFill>
                          <a:srgbClr val="EEF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2"/>
                      <wps:cNvSpPr>
                        <a:spLocks noChangeArrowheads="1"/>
                      </wps:cNvSpPr>
                      <wps:spPr bwMode="auto">
                        <a:xfrm>
                          <a:off x="1049020" y="0"/>
                          <a:ext cx="54610" cy="554990"/>
                        </a:xfrm>
                        <a:prstGeom prst="rect">
                          <a:avLst/>
                        </a:prstGeom>
                        <a:solidFill>
                          <a:srgbClr val="F0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3"/>
                      <wps:cNvSpPr>
                        <a:spLocks noChangeArrowheads="1"/>
                      </wps:cNvSpPr>
                      <wps:spPr bwMode="auto">
                        <a:xfrm>
                          <a:off x="1103630" y="0"/>
                          <a:ext cx="53975" cy="554990"/>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4"/>
                      <wps:cNvSpPr>
                        <a:spLocks noChangeArrowheads="1"/>
                      </wps:cNvSpPr>
                      <wps:spPr bwMode="auto">
                        <a:xfrm>
                          <a:off x="1157605" y="0"/>
                          <a:ext cx="54610" cy="554990"/>
                        </a:xfrm>
                        <a:prstGeom prst="rect">
                          <a:avLst/>
                        </a:prstGeom>
                        <a:solidFill>
                          <a:srgbClr val="F4F8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5"/>
                      <wps:cNvSpPr>
                        <a:spLocks noChangeArrowheads="1"/>
                      </wps:cNvSpPr>
                      <wps:spPr bwMode="auto">
                        <a:xfrm>
                          <a:off x="1212215" y="0"/>
                          <a:ext cx="53975" cy="554990"/>
                        </a:xfrm>
                        <a:prstGeom prst="rect">
                          <a:avLst/>
                        </a:prstGeom>
                        <a:solidFill>
                          <a:srgbClr val="F6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6"/>
                      <wps:cNvSpPr>
                        <a:spLocks noChangeArrowheads="1"/>
                      </wps:cNvSpPr>
                      <wps:spPr bwMode="auto">
                        <a:xfrm>
                          <a:off x="1266190" y="0"/>
                          <a:ext cx="81915" cy="554990"/>
                        </a:xfrm>
                        <a:prstGeom prst="rect">
                          <a:avLst/>
                        </a:prstGeom>
                        <a:solidFill>
                          <a:srgbClr val="F8F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7"/>
                      <wps:cNvSpPr>
                        <a:spLocks noChangeArrowheads="1"/>
                      </wps:cNvSpPr>
                      <wps:spPr bwMode="auto">
                        <a:xfrm>
                          <a:off x="1348105" y="0"/>
                          <a:ext cx="81280" cy="554990"/>
                        </a:xfrm>
                        <a:prstGeom prst="rect">
                          <a:avLst/>
                        </a:prstGeom>
                        <a:solidFill>
                          <a:srgbClr val="FAF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8"/>
                      <wps:cNvSpPr>
                        <a:spLocks noChangeArrowheads="1"/>
                      </wps:cNvSpPr>
                      <wps:spPr bwMode="auto">
                        <a:xfrm>
                          <a:off x="1429385" y="0"/>
                          <a:ext cx="135255" cy="554990"/>
                        </a:xfrm>
                        <a:prstGeom prst="rect">
                          <a:avLst/>
                        </a:prstGeom>
                        <a:solidFill>
                          <a:srgbClr val="FC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9"/>
                      <wps:cNvSpPr>
                        <a:spLocks noChangeArrowheads="1"/>
                      </wps:cNvSpPr>
                      <wps:spPr bwMode="auto">
                        <a:xfrm>
                          <a:off x="1564640" y="0"/>
                          <a:ext cx="17208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0"/>
                      <wps:cNvSpPr>
                        <a:spLocks noChangeArrowheads="1"/>
                      </wps:cNvSpPr>
                      <wps:spPr bwMode="auto">
                        <a:xfrm>
                          <a:off x="533400" y="145415"/>
                          <a:ext cx="5789295" cy="273050"/>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1"/>
                      <wps:cNvSpPr>
                        <a:spLocks noChangeArrowheads="1"/>
                      </wps:cNvSpPr>
                      <wps:spPr bwMode="auto">
                        <a:xfrm>
                          <a:off x="533400" y="145415"/>
                          <a:ext cx="135890" cy="136525"/>
                        </a:xfrm>
                        <a:prstGeom prst="rect">
                          <a:avLst/>
                        </a:prstGeom>
                        <a:solidFill>
                          <a:srgbClr val="99C2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2"/>
                      <wps:cNvSpPr>
                        <a:spLocks noChangeArrowheads="1"/>
                      </wps:cNvSpPr>
                      <wps:spPr bwMode="auto">
                        <a:xfrm>
                          <a:off x="533400" y="8255"/>
                          <a:ext cx="135890" cy="137160"/>
                        </a:xfrm>
                        <a:prstGeom prst="rect">
                          <a:avLst/>
                        </a:prstGeom>
                        <a:solidFill>
                          <a:srgbClr val="CCE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3"/>
                      <wps:cNvSpPr>
                        <a:spLocks noChangeArrowheads="1"/>
                      </wps:cNvSpPr>
                      <wps:spPr bwMode="auto">
                        <a:xfrm>
                          <a:off x="398145" y="145415"/>
                          <a:ext cx="135255" cy="136525"/>
                        </a:xfrm>
                        <a:prstGeom prst="rect">
                          <a:avLst/>
                        </a:prstGeom>
                        <a:solidFill>
                          <a:srgbClr val="CCE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4"/>
                      <wps:cNvSpPr>
                        <a:spLocks noChangeArrowheads="1"/>
                      </wps:cNvSpPr>
                      <wps:spPr bwMode="auto">
                        <a:xfrm>
                          <a:off x="271145" y="281940"/>
                          <a:ext cx="127000" cy="136525"/>
                        </a:xfrm>
                        <a:prstGeom prst="rect">
                          <a:avLst/>
                        </a:prstGeom>
                        <a:solidFill>
                          <a:srgbClr val="CCE1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5"/>
                      <wps:cNvSpPr>
                        <a:spLocks noChangeArrowheads="1"/>
                      </wps:cNvSpPr>
                      <wps:spPr bwMode="auto">
                        <a:xfrm>
                          <a:off x="398145" y="281940"/>
                          <a:ext cx="135255" cy="136525"/>
                        </a:xfrm>
                        <a:prstGeom prst="rect">
                          <a:avLst/>
                        </a:prstGeom>
                        <a:solidFill>
                          <a:srgbClr val="99C2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6"/>
                      <wps:cNvSpPr>
                        <a:spLocks noChangeArrowheads="1"/>
                      </wps:cNvSpPr>
                      <wps:spPr bwMode="auto">
                        <a:xfrm>
                          <a:off x="271145" y="418465"/>
                          <a:ext cx="127000" cy="136525"/>
                        </a:xfrm>
                        <a:prstGeom prst="rect">
                          <a:avLst/>
                        </a:prstGeom>
                        <a:solidFill>
                          <a:srgbClr val="99C2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7"/>
                      <wps:cNvSpPr>
                        <a:spLocks noChangeArrowheads="1"/>
                      </wps:cNvSpPr>
                      <wps:spPr bwMode="auto">
                        <a:xfrm>
                          <a:off x="135890" y="145415"/>
                          <a:ext cx="135255" cy="136525"/>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8"/>
                      <wps:cNvSpPr>
                        <a:spLocks noChangeArrowheads="1"/>
                      </wps:cNvSpPr>
                      <wps:spPr bwMode="auto">
                        <a:xfrm>
                          <a:off x="790067" y="145415"/>
                          <a:ext cx="9740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5BF" w:rsidRDefault="00CD45BF">
                            <w:r>
                              <w:rPr>
                                <w:rFonts w:cs="Arial"/>
                                <w:color w:val="FFFFFF"/>
                                <w:lang w:val="en-US"/>
                              </w:rPr>
                              <w:t xml:space="preserve">CSSF Newsletter </w:t>
                            </w:r>
                          </w:p>
                        </w:txbxContent>
                      </wps:txbx>
                      <wps:bodyPr rot="0" vert="horz" wrap="none" lIns="0" tIns="0" rIns="0" bIns="0" anchor="t" anchorCtr="0">
                        <a:spAutoFit/>
                      </wps:bodyPr>
                    </wps:wsp>
                    <wps:wsp>
                      <wps:cNvPr id="58" name="Rectangle 39"/>
                      <wps:cNvSpPr>
                        <a:spLocks noChangeArrowheads="1"/>
                      </wps:cNvSpPr>
                      <wps:spPr bwMode="auto">
                        <a:xfrm>
                          <a:off x="2216150" y="205105"/>
                          <a:ext cx="355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5BF" w:rsidRDefault="00CD45BF">
                            <w:r>
                              <w:rPr>
                                <w:rFonts w:cs="Arial"/>
                                <w:color w:val="FFFFFF"/>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59" o:spid="_x0000_s1028" editas="canvas" style="position:absolute;left:0;text-align:left;margin-left:-15.75pt;margin-top:-23.95pt;width:497.85pt;height:43.7pt;z-index:251663360" coordsize="63226,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3226;height:5549;visibility:visible;mso-wrap-style:square">
                <v:fill o:detectmouseclick="t"/>
                <v:path o:connecttype="none"/>
              </v:shape>
              <v:rect id="Rectangle 4" o:spid="_x0000_s1030" style="position:absolute;width:1536;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Bi78A&#10;AADaAAAADwAAAGRycy9kb3ducmV2LnhtbERPy4rCMBTdC/MP4QpuRNMZRKUaZegw4NY37i7Nta02&#10;N7WJtv69WQguD+c9X7amFA+qXWFZwfcwAkGcWl1wpmC3/R9MQTiPrLG0TAqe5GC5+OrMMda24TU9&#10;Nj4TIYRdjApy76tYSpfmZNANbUUcuLOtDfoA60zqGpsQbkr5E0VjabDg0JBjRUlO6XVzNwpuf01/&#10;f7scimQ8OR9PSeqOo3aqVK/b/s5AeGr9R/x2r7SCsDVcCTd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csGLvwAAANoAAAAPAAAAAAAAAAAAAAAAAJgCAABkcnMvZG93bnJl&#10;di54bWxQSwUGAAAAAAQABAD1AAAAhAMAAAAA&#10;" fillcolor="#cce1eb" stroked="f"/>
              <v:rect id="Rectangle 5" o:spid="_x0000_s1031" style="position:absolute;left:1536;width:1086;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BQMEA&#10;AADaAAAADwAAAGRycy9kb3ducmV2LnhtbESPQYvCMBSE7wv+h/AEb2uiB9GuUaogelVXF2+P5m1b&#10;tnkpTazVX28EYY/DzHzDzJedrURLjS8daxgNFQjizJmScw3fx83nFIQPyAYrx6ThTh6Wi97HHBPj&#10;bryn9hByESHsE9RQhFAnUvqsIIt+6Gri6P26xmKIssmlafAW4baSY6Um0mLJcaHAmtYFZX+Hq9WQ&#10;pvkptZfwM+3Oq8dlq8yuVTOtB/0u/QIRqAv/4Xd7ZzTM4HUl3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3AUDBAAAA2gAAAA8AAAAAAAAAAAAAAAAAmAIAAGRycy9kb3du&#10;cmV2LnhtbFBLBQYAAAAABAAEAPUAAACGAwAAAAA=&#10;" fillcolor="#cee2ec" stroked="f"/>
              <v:rect id="Rectangle 6" o:spid="_x0000_s1032" style="position:absolute;left:2622;width:813;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lh8YA&#10;AADbAAAADwAAAGRycy9kb3ducmV2LnhtbESPQWvCQBCF7wX/wzJCb3Wjh1KjqxS1VEorNCrobcxO&#10;k2B2NmRXTf995yD0NsN7894303nnanWlNlSeDQwHCSji3NuKCwO77dvTC6gQkS3WnsnALwWYz3oP&#10;U0ytv/E3XbNYKAnhkKKBMsYm1TrkJTkMA98Qi/bjW4dR1rbQtsWbhLtaj5LkWTusWBpKbGhRUn7O&#10;Ls7Avh7r3enj8xI3q2y1Xr4fjosvb8xjv3udgIrUxX/z/XptBV/o5Rc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5lh8YAAADbAAAADwAAAAAAAAAAAAAAAACYAgAAZHJz&#10;L2Rvd25yZXYueG1sUEsFBgAAAAAEAAQA9QAAAIsDAAAAAA==&#10;" fillcolor="#d0e3ec" stroked="f"/>
              <v:rect id="Rectangle 7" o:spid="_x0000_s1033" style="position:absolute;left:3435;width:819;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trMAA&#10;AADbAAAADwAAAGRycy9kb3ducmV2LnhtbERP24rCMBB9F/yHMIIvomllEalGEUEQlIXt7geMzdgW&#10;k0ltYq1/bxYW9m0O5zrrbW+N6Kj1tWMF6SwBQVw4XXOp4Of7MF2C8AFZo3FMCl7kYbsZDtaYaffk&#10;L+ryUIoYwj5DBVUITSalLyqy6GeuIY7c1bUWQ4RtKXWLzxhujZwnyUJarDk2VNjQvqLilj+sgsmp&#10;M8nH55ny5k4TfzeX1PQnpcajfrcCEagP/+I/91HH+Sn8/hI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KtrMAAAADbAAAADwAAAAAAAAAAAAAAAACYAgAAZHJzL2Rvd25y&#10;ZXYueG1sUEsFBgAAAAAEAAQA9QAAAIUDAAAAAA==&#10;" fillcolor="#d2e4ed" stroked="f"/>
              <v:rect id="Rectangle 8" o:spid="_x0000_s1034" style="position:absolute;left:4254;width:540;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F/sMA&#10;AADbAAAADwAAAGRycy9kb3ducmV2LnhtbERPS2vCQBC+F/wPywheim7qoYToKj4oFnqpj4PexuyY&#10;hGRnw+5q0n/fLRS8zcf3nPmyN414kPOVZQVvkwQEcW51xYWC0/FjnILwAVljY5kU/JCH5WLwMsdM&#10;24739DiEQsQQ9hkqKENoMyl9XpJBP7EtceRu1hkMEbpCaoddDDeNnCbJuzRYcWwosaVNSXl9uBsF&#10;aV/f6y9//t51R3PZvK6v233qlBoN+9UMRKA+PMX/7k8d50/h75d4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F/sMAAADbAAAADwAAAAAAAAAAAAAAAACYAgAAZHJzL2Rv&#10;d25yZXYueG1sUEsFBgAAAAAEAAQA9QAAAIgDAAAAAA==&#10;" fillcolor="#d4e6ee" stroked="f"/>
              <v:rect id="Rectangle 9" o:spid="_x0000_s1035" style="position:absolute;left:4794;width:540;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5d8QA&#10;AADbAAAADwAAAGRycy9kb3ducmV2LnhtbERPTWvCQBC9F/oflil4KbrRooSYjZRCxUuQ2kavQ3aa&#10;pM3OhuxWo7++Kwje5vE+J10NphVH6l1jWcF0EoEgLq1uuFLw9fk+jkE4j6yxtUwKzuRglT0+pJho&#10;e+IPOu58JUIIuwQV1N53iZSurMmgm9iOOHDftjfoA+wrqXs8hXDTylkULaTBhkNDjR291VT+7v6M&#10;gvX0Uvwc4uci3+xn20WRz4sqnys1ehpelyA8Df4uvrk3Osx/gesv4Q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eXfEAAAA2wAAAA8AAAAAAAAAAAAAAAAAmAIAAGRycy9k&#10;b3ducmV2LnhtbFBLBQYAAAAABAAEAPUAAACJAwAAAAA=&#10;" fillcolor="#d6e7ef" stroked="f"/>
              <v:rect id="Rectangle 10" o:spid="_x0000_s1036" style="position:absolute;left:5334;width:546;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35MEA&#10;AADbAAAADwAAAGRycy9kb3ducmV2LnhtbERPy6rCMBDdC/5DGMHNRVMVVKpRRPABXhAf4HZoxrbY&#10;TEoTtfr15sIFd3M4z5nOa1OIB1Uut6yg141AECdW55wqOJ9WnTEI55E1FpZJwYsczGfNxhRjbZ98&#10;oMfRpyKEsItRQeZ9GUvpkowMuq4tiQN3tZVBH2CVSl3hM4SbQvajaCgN5hwaMixpmVFyO96Ngv1p&#10;9KsHl59k/ebdMrpt7ofLlZRqt+rFBISn2n/F/+6tDvOH8PdLOE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uN+TBAAAA2wAAAA8AAAAAAAAAAAAAAAAAmAIAAGRycy9kb3du&#10;cmV2LnhtbFBLBQYAAAAABAAEAPUAAACGAwAAAAA=&#10;" fillcolor="#d8e8ef" stroked="f"/>
              <v:rect id="Rectangle 11" o:spid="_x0000_s1037" style="position:absolute;left:5880;width:36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Hv8IA&#10;AADbAAAADwAAAGRycy9kb3ducmV2LnhtbERPTWsCMRC9F/ofwhS81Ww9qGyN0iqKCoV12x56GzbT&#10;zdLNJGyirv/eCAVv83ifM1v0thUn6kLjWMHLMANBXDndcK3g63P9PAURIrLG1jEpuFCAxfzxYYa5&#10;dmc+0KmMtUghHHJUYGL0uZShMmQxDJ0nTtyv6yzGBLta6g7PKdy2cpRlY2mx4dRg0NPSUPVXHq2C&#10;6WbXf7c+fNDeFLv3uix+Vr5QavDUv72CiNTHu/jfvdVp/gRuv6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Ie/wgAAANsAAAAPAAAAAAAAAAAAAAAAAJgCAABkcnMvZG93&#10;bnJldi54bWxQSwUGAAAAAAQABAD1AAAAhwMAAAAA&#10;" fillcolor="#dae9f0" stroked="f"/>
              <v:rect id="Rectangle 12" o:spid="_x0000_s1038" style="position:absolute;left:6242;width:450;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czsIA&#10;AADbAAAADwAAAGRycy9kb3ducmV2LnhtbESPwWrDMBBE74X8g9hAbo3sFprgRDYhUNpr0jrntbWx&#10;TayVkVTb6ddXhUKPw8y8YfbFbHoxkvOdZQXpOgFBXFvdcaPg8+P1cQvCB2SNvWVScCcPRb542GOm&#10;7cQnGs+hERHCPkMFbQhDJqWvWzLo13Ygjt7VOoMhStdI7XCKcNPLpyR5kQY7jgstDnRsqb6dv4yC&#10;vnOntAzf1VvZVBs7kyk31UWp1XI+7EAEmsN/+K/9rhU8p/D7Jf4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hzOwgAAANsAAAAPAAAAAAAAAAAAAAAAAJgCAABkcnMvZG93&#10;bnJldi54bWxQSwUGAAAAAAQABAD1AAAAhwMAAAAA&#10;" fillcolor="#dceaf1" stroked="f"/>
              <v:rect id="Rectangle 13" o:spid="_x0000_s1039" style="position:absolute;left:6692;width:451;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4g8MA&#10;AADbAAAADwAAAGRycy9kb3ducmV2LnhtbESPQWvCQBSE7wX/w/IEb3WjBU2jq2ihKBQPjaLXR/aZ&#10;BLNv0+xq4r/vCoLHYWa+YebLzlTiRo0rLSsYDSMQxJnVJecKDvvv9xiE88gaK8uk4E4Olove2xwT&#10;bVv+pVvqcxEg7BJUUHhfJ1K6rCCDbmhr4uCdbWPQB9nkUjfYBrip5DiKJtJgyWGhwJq+Csou6dUo&#10;2B8//9rd1B9+4t00jSN9WhNvlBr0u9UMhKfOv8LP9lYr+BjD4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84g8MAAADbAAAADwAAAAAAAAAAAAAAAACYAgAAZHJzL2Rv&#10;d25yZXYueG1sUEsFBgAAAAAEAAQA9QAAAIgDAAAAAA==&#10;" fillcolor="#deebf2" stroked="f"/>
              <v:rect id="Rectangle 14" o:spid="_x0000_s1040" style="position:absolute;left:7143;width:36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efsQA&#10;AADbAAAADwAAAGRycy9kb3ducmV2LnhtbESPW4vCMBSE3wX/QzgL+6apFi9Uo4jLwoogeAF9PDZn&#10;22JzUppou/9+Iwg+DjPzDTNftqYUD6pdYVnBoB+BIE6tLjhTcDp+96YgnEfWWFomBX/kYLnoduaY&#10;aNvwnh4Hn4kAYZeggtz7KpHSpTkZdH1bEQfv19YGfZB1JnWNTYCbUg6jaCwNFhwWcqxonVN6O9yN&#10;gkn81USjy35yT28bf24u13iw2yr1+dGuZiA8tf4dfrV/tII4hue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Xn7EAAAA2wAAAA8AAAAAAAAAAAAAAAAAmAIAAGRycy9k&#10;b3ducmV2LnhtbFBLBQYAAAAABAAEAPUAAACJAwAAAAA=&#10;" fillcolor="#e0ecf2" stroked="f"/>
              <v:rect id="Rectangle 15" o:spid="_x0000_s1041" style="position:absolute;left:7505;width:457;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jFcYA&#10;AADbAAAADwAAAGRycy9kb3ducmV2LnhtbESPUWvCQBCE34X+h2MLvpR6qbZVUk+RSEuxIBgLvm5z&#10;2yQ0txdyW43/vicUfBxm5htmvuxdo47UhdqzgYdRAoq48Lbm0sDn/vV+BioIssXGMxk4U4Dl4mYw&#10;x9T6E+/omEupIoRDigYqkTbVOhQVOQwj3xJH79t3DiXKrtS2w1OEu0aPk+RZO6w5LlTYUlZR8ZP/&#10;OgOZrIO8fW1m2/MmSw44+Tg83U2NGd72qxdQQr1cw//td2tg8giXL/EH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ejFcYAAADbAAAADwAAAAAAAAAAAAAAAACYAgAAZHJz&#10;L2Rvd25yZXYueG1sUEsFBgAAAAAEAAQA9QAAAIsDAAAAAA==&#10;" fillcolor="#e2edf3" stroked="f"/>
              <v:rect id="Rectangle 16" o:spid="_x0000_s1042" style="position:absolute;left:7962;width:36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6R78A&#10;AADbAAAADwAAAGRycy9kb3ducmV2LnhtbESPzQrCMBCE74LvEFbwpqlKRapRRBE8Kf6A16VZ22Kz&#10;KU3U9u2NIHgcZuYbZrFqTCleVLvCsoLRMAJBnFpdcKbgetkNZiCcR9ZYWiYFLTlYLbudBSbavvlE&#10;r7PPRICwS1BB7n2VSOnSnAy6oa2Ig3e3tUEfZJ1JXeM7wE0px1E0lQYLDgs5VrTJKX2cn0bB+hG3&#10;m9O2LK5RbPB4O7TpfdYq1e816zkIT43/h3/tvVYwie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TpHvwAAANsAAAAPAAAAAAAAAAAAAAAAAJgCAABkcnMvZG93bnJl&#10;di54bWxQSwUGAAAAAAQABAD1AAAAhAMAAAAA&#10;" fillcolor="#e4eef4" stroked="f"/>
              <v:rect id="Rectangle 17" o:spid="_x0000_s1043" style="position:absolute;left:8324;width:451;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ZAcEA&#10;AADbAAAADwAAAGRycy9kb3ducmV2LnhtbESPQYvCMBSE7wv+h/CEvSyaqCClGkWERU9Ktd4fzbMt&#10;Ni+lyWr33xtB8DjMzDfMct3bRtyp87VjDZOxAkFcOFNzqSE//44SED4gG2wck4Z/8rBeDb6WmBr3&#10;4Izup1CKCGGfooYqhDaV0hcVWfRj1xJH7+o6iyHKrpSmw0eE20ZOlZpLizXHhQpb2lZU3E5/VkPI&#10;j8dNkh9on2QXztTPZafsROvvYb9ZgAjUh0/43d4bDbM5vL7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WQHBAAAA2wAAAA8AAAAAAAAAAAAAAAAAmAIAAGRycy9kb3du&#10;cmV2LnhtbFBLBQYAAAAABAAEAPUAAACGAwAAAAA=&#10;" fillcolor="#e6f0f5" stroked="f"/>
              <v:rect id="Rectangle 18" o:spid="_x0000_s1044" style="position:absolute;left:8775;width:36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4AsQA&#10;AADbAAAADwAAAGRycy9kb3ducmV2LnhtbESPT2vCQBTE70K/w/IK3nRjxT9NXaUogtiTaen5kX3N&#10;RrNvY3bV5Nu7BcHjMDO/YRar1lbiSo0vHSsYDRMQxLnTJRcKfr63gzkIH5A1Vo5JQUceVsuX3gJT&#10;7W58oGsWChEh7FNUYEKoUyl9bsiiH7qaOHp/rrEYomwKqRu8Rbit5FuSTKXFkuOCwZrWhvJTdrEK&#10;3mfrmr7O3eh4Ov7a+T7rNhNTKtV/bT8/QARqwzP8aO+0gvEM/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uALEAAAA2wAAAA8AAAAAAAAAAAAAAAAAmAIAAGRycy9k&#10;b3ducmV2LnhtbFBLBQYAAAAABAAEAPUAAACJAwAAAAA=&#10;" fillcolor="#e8f1f5" stroked="f"/>
              <v:rect id="Rectangle 19" o:spid="_x0000_s1045" style="position:absolute;left:9137;width:540;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uAcEA&#10;AADbAAAADwAAAGRycy9kb3ducmV2LnhtbERPz2vCMBS+D/wfwhO8zVSFTapRtCAI7rCpCN4eybMp&#10;Ni+libb+98thsOPH93u57l0tntSGyrOCyTgDQay9qbhUcD7t3ucgQkQ2WHsmBS8KsF4N3paYG9/x&#10;Dz2PsRQphEOOCmyMTS5l0JYchrFviBN3863DmGBbStNil8JdLadZ9iEdVpwaLDZUWNL348MpaPT2&#10;8rXZF3pyyOzVfJ6+X8WsU2o07DcLEJH6+C/+c++Nglkam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K7gHBAAAA2wAAAA8AAAAAAAAAAAAAAAAAmAIAAGRycy9kb3du&#10;cmV2LnhtbFBLBQYAAAAABAAEAPUAAACGAwAAAAA=&#10;" fillcolor="#eaf2f6" stroked="f"/>
              <v:rect id="Rectangle 20" o:spid="_x0000_s1046" style="position:absolute;left:9677;width:36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atMMA&#10;AADbAAAADwAAAGRycy9kb3ducmV2LnhtbESPT2vCQBTE70K/w/IKvemmpgabuoqIFT36B9rjI/u6&#10;CWbfhuxq0m/vCoLHYWZ+w8wWva3FlVpfOVbwPkpAEBdOV2wUnI7fwykIH5A11o5JwT95WMxfBjPM&#10;tet4T9dDMCJC2OeooAyhyaX0RUkW/cg1xNH7c63FEGVrpG6xi3Bby3GSZNJixXGhxIZWJRXnw8Uq&#10;2JyzTbr/3Rk3/vkIa56YtJp2Sr299ssvEIH68Aw/2lutIP2E+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ZatMMAAADbAAAADwAAAAAAAAAAAAAAAACYAgAAZHJzL2Rv&#10;d25yZXYueG1sUEsFBgAAAAAEAAQA9QAAAIgDAAAAAA==&#10;" fillcolor="#ecf4f7" stroked="f"/>
              <v:rect id="Rectangle 21" o:spid="_x0000_s1047" style="position:absolute;left:10039;width:451;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Oz8AA&#10;AADbAAAADwAAAGRycy9kb3ducmV2LnhtbERPy4rCMBTdC/5DuII7TWeQQTumZRwQxM2gduPu0tw+&#10;mOamNtFWv94sBJeH816ng2nEjTpXW1bwMY9AEOdW11wqyE7b2RKE88gaG8uk4E4O0mQ8WmOsbc8H&#10;uh19KUIIuxgVVN63sZQur8igm9uWOHCF7Qz6ALtS6g77EG4a+RlFX9JgzaGhwpZ+K8r/j1ejoGBZ&#10;NKuN6f318HfOlrx/mOGi1HQy/HyD8DT4t/jl3mkFi7A+fAk/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6Oz8AAAADbAAAADwAAAAAAAAAAAAAAAACYAgAAZHJzL2Rvd25y&#10;ZXYueG1sUEsFBgAAAAAEAAQA9QAAAIUDAAAAAA==&#10;" fillcolor="#eef4f8" stroked="f"/>
              <v:rect id="Rectangle 22" o:spid="_x0000_s1048" style="position:absolute;left:10490;width:546;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jycUA&#10;AADbAAAADwAAAGRycy9kb3ducmV2LnhtbESPzWvCQBTE7wX/h+UJvdVNqpQa3YRQsfTgpVr8uD2y&#10;Lx+YfRuyW43/vVsoeBxm5jfMMhtMKy7Uu8aygngSgSAurG64UvCzW7+8g3AeWWNrmRTcyEGWjp6W&#10;mGh75W+6bH0lAoRdggpq77tESlfUZNBNbEccvNL2Bn2QfSV1j9cAN618jaI3abDhsFBjRx81Feft&#10;r1FwWOWFPK18eZxutIxP3X4e8adSz+MhX4DwNPhH+L/9pRXMYvj7En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CPJxQAAANsAAAAPAAAAAAAAAAAAAAAAAJgCAABkcnMv&#10;ZG93bnJldi54bWxQSwUGAAAAAAQABAD1AAAAigMAAAAA&#10;" fillcolor="#f0f6f9" stroked="f"/>
              <v:rect id="Rectangle 23" o:spid="_x0000_s1049" style="position:absolute;left:11036;width:540;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WcQA&#10;AADbAAAADwAAAGRycy9kb3ducmV2LnhtbESPQWvCQBSE7wX/w/IEL0U3hiIluooIBT2U0lT0+sg+&#10;k2j2bbq7JvHfdwuFHoeZ+YZZbQbTiI6cry0rmM8SEMSF1TWXCo5fb9NXED4ga2wsk4IHedisR08r&#10;zLTt+ZO6PJQiQthnqKAKoc2k9EVFBv3MtsTRu1hnMETpSqkd9hFuGpkmyUIarDkuVNjSrqLilt+N&#10;AjPvHhevF+75fMjTj/47XI+nd6Um42G7BBFoCP/hv/ZeK3hJ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ZelnEAAAA2wAAAA8AAAAAAAAAAAAAAAAAmAIAAGRycy9k&#10;b3ducmV2LnhtbFBLBQYAAAAABAAEAPUAAACJAwAAAAA=&#10;" fillcolor="#f2f7fa" stroked="f"/>
              <v:rect id="Rectangle 24" o:spid="_x0000_s1050" style="position:absolute;left:11576;width:546;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s0MMA&#10;AADbAAAADwAAAGRycy9kb3ducmV2LnhtbESPQYvCMBSE74L/ITzBm6Z1RaRrlFVWEFZEq7DXR/Ns&#10;yzYvpYm2/vuNIHgcZuYbZrHqTCXu1LjSsoJ4HIEgzqwuOVdwOW9HcxDOI2usLJOCBzlYLfu9BSba&#10;tnyie+pzESDsElRQeF8nUrqsIINubGvi4F1tY9AH2eRSN9gGuKnkJIpm0mDJYaHAmjYFZX/pzSho&#10;b9NfHV/X+kd+7+LLXreTw/ao1HDQfX2C8NT5d/jV3mkF0w9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ms0MMAAADbAAAADwAAAAAAAAAAAAAAAACYAgAAZHJzL2Rv&#10;d25yZXYueG1sUEsFBgAAAAAEAAQA9QAAAIgDAAAAAA==&#10;" fillcolor="#f4f8fb" stroked="f"/>
              <v:rect id="Rectangle 25" o:spid="_x0000_s1051" style="position:absolute;left:12122;width:539;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0NMMA&#10;AADbAAAADwAAAGRycy9kb3ducmV2LnhtbESP3YrCMBSE7xd8h3AEbxZNFS1SjeLPCt6IaH2AQ3Ns&#10;i81JaaJ2394IgpfDzHzDzJetqcSDGldaVjAcRCCIM6tLzhVc0l1/CsJ5ZI2VZVLwTw6Wi87PHBNt&#10;n3yix9nnIkDYJaig8L5OpHRZQQbdwNbEwbvaxqAPssmlbvAZ4KaSoyiKpcGSw0KBNW0Kym7nu1GA&#10;2/yySq+T7eS0H6X3418b/x7WSvW67WoGwlPrv+FPe68VjMf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0NMMAAADbAAAADwAAAAAAAAAAAAAAAACYAgAAZHJzL2Rv&#10;d25yZXYueG1sUEsFBgAAAAAEAAQA9QAAAIgDAAAAAA==&#10;" fillcolor="#f6f9fb" stroked="f"/>
              <v:rect id="Rectangle 26" o:spid="_x0000_s1052" style="position:absolute;left:12661;width:820;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U38EA&#10;AADbAAAADwAAAGRycy9kb3ducmV2LnhtbESP0WoCMRRE3wv+Q7gFX4pmu6jI1ihSqPiq6wdcNtdN&#10;6OZmm6Tr+vemUPBxmJkzzGY3uk4MFKL1rOB9XoAgbry23Cq41F+zNYiYkDV2nknBnSLstpOXDVba&#10;3/hEwzm1IkM4VqjApNRXUsbGkMM49z1x9q4+OExZhlbqgLcMd50si2IlHVrOCwZ7+jTUfJ9/nQJ/&#10;bcvLfajXAQ/DjylrK7s3q9T0ddx/gEg0pmf4v33UChZL+Pu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lFN/BAAAA2wAAAA8AAAAAAAAAAAAAAAAAmAIAAGRycy9kb3du&#10;cmV2LnhtbFBLBQYAAAAABAAEAPUAAACGAwAAAAA=&#10;" fillcolor="#f8fbfc" stroked="f"/>
              <v:rect id="Rectangle 27" o:spid="_x0000_s1053" style="position:absolute;left:13481;width:81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3MQA&#10;AADbAAAADwAAAGRycy9kb3ducmV2LnhtbESPQWsCMRSE7wX/Q3hCL6VmK7rI1ihikQoepLbQ62Pz&#10;ml26eVmS6K7+eiMIHoeZ+YaZL3vbiBP5UDtW8DbKQBCXTtdsFPx8b15nIEJE1tg4JgVnCrBcDJ7m&#10;WGjX8RedDtGIBOFQoIIqxraQMpQVWQwj1xIn7895izFJb6T22CW4beQ4y3Jpsea0UGFL64rK/8PR&#10;Klj/+ovLX6ib7kyz/1xNLjOz+VDqediv3kFE6uMjfG9vtYJJD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adzEAAAA2wAAAA8AAAAAAAAAAAAAAAAAmAIAAGRycy9k&#10;b3ducmV2LnhtbFBLBQYAAAAABAAEAPUAAACJAwAAAAA=&#10;" fillcolor="#fafcfd" stroked="f"/>
              <v:rect id="Rectangle 28" o:spid="_x0000_s1054" style="position:absolute;left:14293;width:1353;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ifMQA&#10;AADbAAAADwAAAGRycy9kb3ducmV2LnhtbESPT2vCQBTE7wW/w/IEb3Vj0VpSN8EKaqEn/xza2yP7&#10;TILZt2F3TeK3dwuFHoeZ+Q2zygfTiI6cry0rmE0TEMSF1TWXCs6n7fMbCB+QNTaWScGdPOTZ6GmF&#10;qbY9H6g7hlJECPsUFVQhtKmUvqjIoJ/aljh6F+sMhihdKbXDPsJNI1+S5FUarDkuVNjSpqLierwZ&#10;BcXuZ7GYfZ/sZr53VrIctl+XD6Um42H9DiLQEP7Df+1PrWC+hN8v8Q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onzEAAAA2wAAAA8AAAAAAAAAAAAAAAAAmAIAAGRycy9k&#10;b3ducmV2LnhtbFBLBQYAAAAABAAEAPUAAACJAwAAAAA=&#10;" fillcolor="#fcfdfe" stroked="f"/>
              <v:rect id="Rectangle 29" o:spid="_x0000_s1055" style="position:absolute;left:15646;width:1721;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30" o:spid="_x0000_s1056" style="position:absolute;left:5334;top:1454;width:5789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hLcQA&#10;AADbAAAADwAAAGRycy9kb3ducmV2LnhtbESPQWvCQBSE70L/w/IKvZmNUjRGVymC0ENBjKG9PrLP&#10;JJh9m2a3MfXXu4LgcZiZb5jVZjCN6KlztWUFkygGQVxYXXOpID/uxgkI55E1NpZJwT852KxfRitM&#10;tb3wgfrMlyJA2KWooPK+TaV0RUUGXWRb4uCdbGfQB9mVUnd4CXDTyGkcz6TBmsNChS1tKyrO2Z9R&#10;sJ3mp9k82105n9Pvd5987X8wUertdfhYgvA0+Gf40f7UCt4XcP8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oS3EAAAA2wAAAA8AAAAAAAAAAAAAAAAAmAIAAGRycy9k&#10;b3ducmV2LnhtbFBLBQYAAAAABAAEAPUAAACJAwAAAAA=&#10;" fillcolor="#069" stroked="f"/>
              <v:rect id="Rectangle 31" o:spid="_x0000_s1057" style="position:absolute;left:5334;top:1454;width:1358;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QRMAA&#10;AADbAAAADwAAAGRycy9kb3ducmV2LnhtbERPTWsCMRC9F/wPYYReiiZVWmQ1SmktlXqqCl6Hzbi7&#10;mEyWzajbf28OhR4f73ux6oNXV+pSE9nC89iAIi6ja7iycNh/jmagkiA79JHJwi8lWC0HDwssXLzx&#10;D113UqkcwqlAC7VIW2idypoCpnFsiTN3il1AybCrtOvwlsOD1xNjXnXAhnNDjS2911Sed5dgwX9s&#10;fZkmcvxya2Pi99NU0oatfRz2b3NQQr38i//cG2fhJa/PX/IP0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1QRMAAAADbAAAADwAAAAAAAAAAAAAAAACYAgAAZHJzL2Rvd25y&#10;ZXYueG1sUEsFBgAAAAAEAAQA9QAAAIUDAAAAAA==&#10;" fillcolor="#99c2d7" stroked="f"/>
              <v:rect id="Rectangle 32" o:spid="_x0000_s1058" style="position:absolute;left:5334;top:82;width:1358;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We8YA&#10;AADbAAAADwAAAGRycy9kb3ducmV2LnhtbESPT2vCQBTE70K/w/IKvYhuLPUP0U0oKUKv1bbB2yP7&#10;TKLZtzG7mvTbdwtCj8PM/IbZpINpxI06V1tWMJtGIIgLq2suFXzut5MVCOeRNTaWScEPOUiTh9EG&#10;Y217/qDbzpciQNjFqKDyvo2ldEVFBt3UtsTBO9rOoA+yK6XusA9w08jnKFpIgzWHhQpbyioqzrur&#10;UXB568dfl9N3nS2Wx/yQFS5/GVZKPT0Or2sQngb/H76337WC+Qz+vo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We8YAAADbAAAADwAAAAAAAAAAAAAAAACYAgAAZHJz&#10;L2Rvd25yZXYueG1sUEsFBgAAAAAEAAQA9QAAAIsDAAAAAA==&#10;" fillcolor="#cce1eb" stroked="f"/>
              <v:rect id="Rectangle 33" o:spid="_x0000_s1059" style="position:absolute;left:3981;top:1454;width:135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IDMUA&#10;AADbAAAADwAAAGRycy9kb3ducmV2LnhtbESPS2vDMBCE74X8B7GBXkoiJzQP3MgmuBR6bV6mt8Xa&#10;2G6tlWOpsfvvq0Igx2FmvmE26WAacaXO1ZYVzKYRCOLC6ppLBYf922QNwnlkjY1lUvBLDtJk9LDB&#10;WNueP+i686UIEHYxKqi8b2MpXVGRQTe1LXHwzrYz6IPsSqk77APcNHIeRUtpsOawUGFLWUXF9+7H&#10;KLi89k/Hy9epzparc/6ZFS5/HtZKPY6H7QsIT4O/h2/td61gMYf/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cgMxQAAANsAAAAPAAAAAAAAAAAAAAAAAJgCAABkcnMv&#10;ZG93bnJldi54bWxQSwUGAAAAAAQABAD1AAAAigMAAAAA&#10;" fillcolor="#cce1eb" stroked="f"/>
              <v:rect id="Rectangle 34" o:spid="_x0000_s1060" style="position:absolute;left:2711;top:2819;width:127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tl8UA&#10;AADbAAAADwAAAGRycy9kb3ducmV2LnhtbESPS2vDMBCE74X8B7GBXkoip20eOFZCcSn02jzJbbHW&#10;j8RaOZYau/++ChR6HGbmGyZZ96YWN2pdZVnBZByBIM6srrhQsNt+jBYgnEfWWFsmBT/kYL0aPCQY&#10;a9vxF902vhABwi5GBaX3TSyly0oy6Ma2IQ5ebluDPsi2kLrFLsBNLZ+jaCYNVhwWSmwoLSm7bL6N&#10;gut797S/ng9VOpvnx1OaueNrv1Dqcdi/LUF46v1/+K/9qRVMX+D+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W2XxQAAANsAAAAPAAAAAAAAAAAAAAAAAJgCAABkcnMv&#10;ZG93bnJldi54bWxQSwUGAAAAAAQABAD1AAAAigMAAAAA&#10;" fillcolor="#cce1eb" stroked="f"/>
              <v:rect id="Rectangle 35" o:spid="_x0000_s1061" style="position:absolute;left:3981;top:2819;width:135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WR8QA&#10;AADbAAAADwAAAGRycy9kb3ducmV2LnhtbESPS2sCQRCE7wH/w9CClxBnYh6E1VGCDxRzigl4bXY6&#10;u0tmepadVjf/3gkEciyq6itqtuiDV2fqUhPZwv3YgCIuo2u4svD5sbl7AZUE2aGPTBZ+KMFiPriZ&#10;YeHihd/pfJBKZQinAi3UIm2hdSprCpjGsSXO3lfsAkqWXaVdh5cMD15PjHnWARvOCzW2tKyp/D6c&#10;ggW/evNlmshx69bGxP3tg6QdWzsa9q9TUEK9/If/2jtn4ekRfr/k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VkfEAAAA2wAAAA8AAAAAAAAAAAAAAAAAmAIAAGRycy9k&#10;b3ducmV2LnhtbFBLBQYAAAAABAAEAPUAAACJAwAAAAA=&#10;" fillcolor="#99c2d7" stroked="f"/>
              <v:rect id="Rectangle 36" o:spid="_x0000_s1062" style="position:absolute;left:2711;top:4184;width:127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z3MMA&#10;AADbAAAADwAAAGRycy9kb3ducmV2LnhtbESPQWsCMRSE7wX/Q3iCl1ITLZayNUqpilJPtYVeH5vX&#10;3aXJy7J56vrvG0HocZiZb5j5sg9enahLTWQLk7EBRVxG13Bl4etz8/AMKgmyQx+ZLFwowXIxuJtj&#10;4eKZP+h0kEplCKcCLdQibaF1KmsKmMaxJc7eT+wCSpZdpV2H5wwPXk+NedIBG84LNbb0VlP5ezgG&#10;C36192WayvfWrY2J7/ePknZs7WjYv76AEurlP3xr75yF2QyuX/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z3MMAAADbAAAADwAAAAAAAAAAAAAAAACYAgAAZHJzL2Rv&#10;d25yZXYueG1sUEsFBgAAAAAEAAQA9QAAAIgDAAAAAA==&#10;" fillcolor="#99c2d7" stroked="f"/>
              <v:rect id="Rectangle 37" o:spid="_x0000_s1063" style="position:absolute;left:1358;top:1454;width:1353;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jgsQA&#10;AADbAAAADwAAAGRycy9kb3ducmV2LnhtbESPQWvCQBSE74L/YXmF3symQmOIriKC4KFQTINeH9ln&#10;Esy+jdk1pv31bqHQ4zAz3zCrzWhaMVDvGssK3qIYBHFpdcOVguJrP0tBOI+ssbVMCr7JwWY9naww&#10;0/bBRxpyX4kAYZehgtr7LpPSlTUZdJHtiIN3sb1BH2RfSd3jI8BNK+dxnEiDDYeFGjva1VRe87tR&#10;sJsXl2SR73+4WNDtNKQfn2dMlXp9GbdLEJ5G/x/+ax+0gvcE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o4LEAAAA2wAAAA8AAAAAAAAAAAAAAAAAmAIAAGRycy9k&#10;b3ducmV2LnhtbFBLBQYAAAAABAAEAPUAAACJAwAAAAA=&#10;" fillcolor="#069" stroked="f"/>
              <v:rect id="Rectangle 38" o:spid="_x0000_s1064" style="position:absolute;left:7900;top:1454;width:9741;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CD45BF" w:rsidRDefault="00CD45BF">
                      <w:r>
                        <w:rPr>
                          <w:rFonts w:cs="Arial"/>
                          <w:color w:val="FFFFFF"/>
                          <w:lang w:val="en-US"/>
                        </w:rPr>
                        <w:t xml:space="preserve">CSSF Newsletter </w:t>
                      </w:r>
                    </w:p>
                  </w:txbxContent>
                </v:textbox>
              </v:rect>
              <v:rect id="Rectangle 39" o:spid="_x0000_s1065" style="position:absolute;left:22161;top:2051;width:356;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CD45BF" w:rsidRDefault="00CD45BF">
                      <w:r>
                        <w:rPr>
                          <w:rFonts w:cs="Arial"/>
                          <w:color w:val="FFFFFF"/>
                          <w:lang w:val="en-US"/>
                        </w:rPr>
                        <w:t xml:space="preserve"> </w:t>
                      </w:r>
                    </w:p>
                  </w:txbxContent>
                </v:textbox>
              </v:rect>
            </v:group>
          </w:pict>
        </mc:Fallback>
      </mc:AlternateContent>
    </w:r>
  </w:p>
  <w:p w:rsidR="00CD45BF" w:rsidRDefault="00CD45BF">
    <w:pPr>
      <w:pStyle w:val="Header"/>
    </w:pPr>
  </w:p>
  <w:p w:rsidR="00CD45BF" w:rsidRDefault="00CD45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5BF" w:rsidRDefault="00CD45BF" w:rsidP="00390873">
    <w:pPr>
      <w:pStyle w:val="Header"/>
      <w:spacing w:before="100" w:after="100"/>
      <w:ind w:left="-4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5BF" w:rsidRDefault="00CD45BF" w:rsidP="00390873">
    <w:pPr>
      <w:pStyle w:val="Header"/>
      <w:spacing w:before="100" w:after="100"/>
      <w:ind w:left="-426"/>
    </w:pPr>
    <w:r>
      <w:rPr>
        <w:noProof/>
        <w:lang w:eastAsia="fr-LU"/>
      </w:rPr>
      <w:drawing>
        <wp:anchor distT="0" distB="0" distL="114300" distR="114300" simplePos="0" relativeHeight="251660288" behindDoc="0" locked="1" layoutInCell="1" allowOverlap="1" wp14:anchorId="7E0205E7" wp14:editId="2EA97471">
          <wp:simplePos x="0" y="0"/>
          <wp:positionH relativeFrom="margin">
            <wp:posOffset>-279400</wp:posOffset>
          </wp:positionH>
          <wp:positionV relativeFrom="topMargin">
            <wp:posOffset>168910</wp:posOffset>
          </wp:positionV>
          <wp:extent cx="6313805" cy="5467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3805" cy="546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2A4BE4"/>
    <w:multiLevelType w:val="hybridMultilevel"/>
    <w:tmpl w:val="3D0AFD16"/>
    <w:lvl w:ilvl="0" w:tplc="41DA998E">
      <w:start w:val="1"/>
      <w:numFmt w:val="decimal"/>
      <w:lvlText w:val="%1)"/>
      <w:lvlJc w:val="left"/>
      <w:pPr>
        <w:tabs>
          <w:tab w:val="num" w:pos="1440"/>
        </w:tabs>
        <w:ind w:left="1440" w:hanging="360"/>
      </w:pPr>
      <w:rPr>
        <w:rFonts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4F2C17C1"/>
    <w:multiLevelType w:val="hybridMultilevel"/>
    <w:tmpl w:val="FE3287A0"/>
    <w:lvl w:ilvl="0" w:tplc="7364662E">
      <w:start w:val="1"/>
      <w:numFmt w:val="bullet"/>
      <w:lvlText w:val=""/>
      <w:lvlJc w:val="left"/>
      <w:pPr>
        <w:tabs>
          <w:tab w:val="num" w:pos="1440"/>
        </w:tabs>
        <w:ind w:left="1440" w:hanging="360"/>
      </w:pPr>
      <w:rPr>
        <w:rFonts w:ascii="Symbol" w:eastAsia="Times New Roman" w:hAnsi="Symbol" w:hint="default"/>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556B2040"/>
    <w:multiLevelType w:val="hybridMultilevel"/>
    <w:tmpl w:val="D270C6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281659"/>
    <w:multiLevelType w:val="hybridMultilevel"/>
    <w:tmpl w:val="532E71B6"/>
    <w:lvl w:ilvl="0" w:tplc="DAD6C438">
      <w:start w:val="1"/>
      <w:numFmt w:val="bullet"/>
      <w:pStyle w:val="LIste"/>
      <w:lvlText w:val=""/>
      <w:lvlJc w:val="left"/>
      <w:pPr>
        <w:tabs>
          <w:tab w:val="num" w:pos="3195"/>
        </w:tabs>
        <w:ind w:left="3195" w:hanging="360"/>
      </w:pPr>
      <w:rPr>
        <w:rFonts w:ascii="Wingdings" w:hAnsi="Wingdings" w:hint="default"/>
      </w:rPr>
    </w:lvl>
    <w:lvl w:ilvl="1" w:tplc="0AE8A810" w:tentative="1">
      <w:start w:val="1"/>
      <w:numFmt w:val="bullet"/>
      <w:lvlText w:val="o"/>
      <w:lvlJc w:val="left"/>
      <w:pPr>
        <w:tabs>
          <w:tab w:val="num" w:pos="3989"/>
        </w:tabs>
        <w:ind w:left="3989" w:hanging="360"/>
      </w:pPr>
      <w:rPr>
        <w:rFonts w:ascii="Courier New" w:hAnsi="Courier New" w:hint="default"/>
      </w:rPr>
    </w:lvl>
    <w:lvl w:ilvl="2" w:tplc="0D306DC2" w:tentative="1">
      <w:start w:val="1"/>
      <w:numFmt w:val="bullet"/>
      <w:lvlText w:val=""/>
      <w:lvlJc w:val="left"/>
      <w:pPr>
        <w:tabs>
          <w:tab w:val="num" w:pos="4709"/>
        </w:tabs>
        <w:ind w:left="4709" w:hanging="360"/>
      </w:pPr>
      <w:rPr>
        <w:rFonts w:ascii="Wingdings" w:hAnsi="Wingdings" w:hint="default"/>
      </w:rPr>
    </w:lvl>
    <w:lvl w:ilvl="3" w:tplc="484A96B4">
      <w:start w:val="1"/>
      <w:numFmt w:val="bullet"/>
      <w:lvlText w:val=""/>
      <w:lvlJc w:val="left"/>
      <w:pPr>
        <w:tabs>
          <w:tab w:val="num" w:pos="5429"/>
        </w:tabs>
        <w:ind w:left="5429" w:hanging="360"/>
      </w:pPr>
      <w:rPr>
        <w:rFonts w:ascii="Symbol" w:hAnsi="Symbol" w:hint="default"/>
      </w:rPr>
    </w:lvl>
    <w:lvl w:ilvl="4" w:tplc="0914B656" w:tentative="1">
      <w:start w:val="1"/>
      <w:numFmt w:val="bullet"/>
      <w:lvlText w:val="o"/>
      <w:lvlJc w:val="left"/>
      <w:pPr>
        <w:tabs>
          <w:tab w:val="num" w:pos="6149"/>
        </w:tabs>
        <w:ind w:left="6149" w:hanging="360"/>
      </w:pPr>
      <w:rPr>
        <w:rFonts w:ascii="Courier New" w:hAnsi="Courier New" w:hint="default"/>
      </w:rPr>
    </w:lvl>
    <w:lvl w:ilvl="5" w:tplc="9126F312" w:tentative="1">
      <w:start w:val="1"/>
      <w:numFmt w:val="bullet"/>
      <w:lvlText w:val=""/>
      <w:lvlJc w:val="left"/>
      <w:pPr>
        <w:tabs>
          <w:tab w:val="num" w:pos="6869"/>
        </w:tabs>
        <w:ind w:left="6869" w:hanging="360"/>
      </w:pPr>
      <w:rPr>
        <w:rFonts w:ascii="Wingdings" w:hAnsi="Wingdings" w:hint="default"/>
      </w:rPr>
    </w:lvl>
    <w:lvl w:ilvl="6" w:tplc="B0648F5C" w:tentative="1">
      <w:start w:val="1"/>
      <w:numFmt w:val="bullet"/>
      <w:lvlText w:val=""/>
      <w:lvlJc w:val="left"/>
      <w:pPr>
        <w:tabs>
          <w:tab w:val="num" w:pos="7589"/>
        </w:tabs>
        <w:ind w:left="7589" w:hanging="360"/>
      </w:pPr>
      <w:rPr>
        <w:rFonts w:ascii="Symbol" w:hAnsi="Symbol" w:hint="default"/>
      </w:rPr>
    </w:lvl>
    <w:lvl w:ilvl="7" w:tplc="3FFE7B42" w:tentative="1">
      <w:start w:val="1"/>
      <w:numFmt w:val="bullet"/>
      <w:lvlText w:val="o"/>
      <w:lvlJc w:val="left"/>
      <w:pPr>
        <w:tabs>
          <w:tab w:val="num" w:pos="8309"/>
        </w:tabs>
        <w:ind w:left="8309" w:hanging="360"/>
      </w:pPr>
      <w:rPr>
        <w:rFonts w:ascii="Courier New" w:hAnsi="Courier New" w:hint="default"/>
      </w:rPr>
    </w:lvl>
    <w:lvl w:ilvl="8" w:tplc="23503134" w:tentative="1">
      <w:start w:val="1"/>
      <w:numFmt w:val="bullet"/>
      <w:lvlText w:val=""/>
      <w:lvlJc w:val="left"/>
      <w:pPr>
        <w:tabs>
          <w:tab w:val="num" w:pos="9029"/>
        </w:tabs>
        <w:ind w:left="9029" w:hanging="360"/>
      </w:pPr>
      <w:rPr>
        <w:rFonts w:ascii="Wingdings" w:hAnsi="Wingdings" w:hint="default"/>
      </w:rPr>
    </w:lvl>
  </w:abstractNum>
  <w:abstractNum w:abstractNumId="4" w15:restartNumberingAfterBreak="0">
    <w:nsid w:val="5BBD301A"/>
    <w:multiLevelType w:val="hybridMultilevel"/>
    <w:tmpl w:val="61800950"/>
    <w:lvl w:ilvl="0" w:tplc="86F6FA90">
      <w:start w:val="1"/>
      <w:numFmt w:val="bullet"/>
      <w:pStyle w:val="Heading2CSSF"/>
      <w:lvlText w:val=""/>
      <w:lvlJc w:val="left"/>
      <w:pPr>
        <w:tabs>
          <w:tab w:val="num" w:pos="587"/>
        </w:tabs>
        <w:ind w:left="227"/>
      </w:pPr>
      <w:rPr>
        <w:rFonts w:ascii="Wingdings" w:hAnsi="Wingdings" w:hint="default"/>
      </w:rPr>
    </w:lvl>
    <w:lvl w:ilvl="1" w:tplc="EFAE9286" w:tentative="1">
      <w:start w:val="1"/>
      <w:numFmt w:val="bullet"/>
      <w:lvlText w:val="o"/>
      <w:lvlJc w:val="left"/>
      <w:pPr>
        <w:tabs>
          <w:tab w:val="num" w:pos="1440"/>
        </w:tabs>
        <w:ind w:left="1440" w:hanging="360"/>
      </w:pPr>
      <w:rPr>
        <w:rFonts w:ascii="Courier New" w:hAnsi="Courier New" w:hint="default"/>
      </w:rPr>
    </w:lvl>
    <w:lvl w:ilvl="2" w:tplc="91D4048A" w:tentative="1">
      <w:start w:val="1"/>
      <w:numFmt w:val="bullet"/>
      <w:lvlText w:val=""/>
      <w:lvlJc w:val="left"/>
      <w:pPr>
        <w:tabs>
          <w:tab w:val="num" w:pos="2160"/>
        </w:tabs>
        <w:ind w:left="2160" w:hanging="360"/>
      </w:pPr>
      <w:rPr>
        <w:rFonts w:ascii="Wingdings" w:hAnsi="Wingdings" w:hint="default"/>
      </w:rPr>
    </w:lvl>
    <w:lvl w:ilvl="3" w:tplc="6064616C" w:tentative="1">
      <w:start w:val="1"/>
      <w:numFmt w:val="bullet"/>
      <w:lvlText w:val=""/>
      <w:lvlJc w:val="left"/>
      <w:pPr>
        <w:tabs>
          <w:tab w:val="num" w:pos="2880"/>
        </w:tabs>
        <w:ind w:left="2880" w:hanging="360"/>
      </w:pPr>
      <w:rPr>
        <w:rFonts w:ascii="Symbol" w:hAnsi="Symbol" w:hint="default"/>
      </w:rPr>
    </w:lvl>
    <w:lvl w:ilvl="4" w:tplc="FA4E09C4" w:tentative="1">
      <w:start w:val="1"/>
      <w:numFmt w:val="bullet"/>
      <w:lvlText w:val="o"/>
      <w:lvlJc w:val="left"/>
      <w:pPr>
        <w:tabs>
          <w:tab w:val="num" w:pos="3600"/>
        </w:tabs>
        <w:ind w:left="3600" w:hanging="360"/>
      </w:pPr>
      <w:rPr>
        <w:rFonts w:ascii="Courier New" w:hAnsi="Courier New" w:hint="default"/>
      </w:rPr>
    </w:lvl>
    <w:lvl w:ilvl="5" w:tplc="10167BAC" w:tentative="1">
      <w:start w:val="1"/>
      <w:numFmt w:val="bullet"/>
      <w:lvlText w:val=""/>
      <w:lvlJc w:val="left"/>
      <w:pPr>
        <w:tabs>
          <w:tab w:val="num" w:pos="4320"/>
        </w:tabs>
        <w:ind w:left="4320" w:hanging="360"/>
      </w:pPr>
      <w:rPr>
        <w:rFonts w:ascii="Wingdings" w:hAnsi="Wingdings" w:hint="default"/>
      </w:rPr>
    </w:lvl>
    <w:lvl w:ilvl="6" w:tplc="05C8365C" w:tentative="1">
      <w:start w:val="1"/>
      <w:numFmt w:val="bullet"/>
      <w:lvlText w:val=""/>
      <w:lvlJc w:val="left"/>
      <w:pPr>
        <w:tabs>
          <w:tab w:val="num" w:pos="5040"/>
        </w:tabs>
        <w:ind w:left="5040" w:hanging="360"/>
      </w:pPr>
      <w:rPr>
        <w:rFonts w:ascii="Symbol" w:hAnsi="Symbol" w:hint="default"/>
      </w:rPr>
    </w:lvl>
    <w:lvl w:ilvl="7" w:tplc="D87C8A82" w:tentative="1">
      <w:start w:val="1"/>
      <w:numFmt w:val="bullet"/>
      <w:lvlText w:val="o"/>
      <w:lvlJc w:val="left"/>
      <w:pPr>
        <w:tabs>
          <w:tab w:val="num" w:pos="5760"/>
        </w:tabs>
        <w:ind w:left="5760" w:hanging="360"/>
      </w:pPr>
      <w:rPr>
        <w:rFonts w:ascii="Courier New" w:hAnsi="Courier New" w:hint="default"/>
      </w:rPr>
    </w:lvl>
    <w:lvl w:ilvl="8" w:tplc="0DB2A04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C169AD"/>
    <w:multiLevelType w:val="hybridMultilevel"/>
    <w:tmpl w:val="DBAA84CE"/>
    <w:lvl w:ilvl="0" w:tplc="41DA998E">
      <w:start w:val="1"/>
      <w:numFmt w:val="decimal"/>
      <w:lvlText w:val="%1)"/>
      <w:lvlJc w:val="left"/>
      <w:pPr>
        <w:tabs>
          <w:tab w:val="num" w:pos="1920"/>
        </w:tabs>
        <w:ind w:left="1920" w:hanging="360"/>
      </w:pPr>
      <w:rPr>
        <w:rFonts w:cs="Times New Roman" w:hint="default"/>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5"/>
  </w:num>
  <w:num w:numId="3">
    <w:abstractNumId w:val="1"/>
  </w:num>
  <w:num w:numId="4">
    <w:abstractNumId w:val="0"/>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ttachedTemplate r:id="rId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3CC"/>
    <w:rsid w:val="00002520"/>
    <w:rsid w:val="0001372A"/>
    <w:rsid w:val="000143C0"/>
    <w:rsid w:val="00020722"/>
    <w:rsid w:val="000227BE"/>
    <w:rsid w:val="00023C40"/>
    <w:rsid w:val="000325F5"/>
    <w:rsid w:val="00034C6D"/>
    <w:rsid w:val="00037F31"/>
    <w:rsid w:val="00043D53"/>
    <w:rsid w:val="000472D6"/>
    <w:rsid w:val="000546CB"/>
    <w:rsid w:val="00057B26"/>
    <w:rsid w:val="000618E4"/>
    <w:rsid w:val="00063469"/>
    <w:rsid w:val="00073549"/>
    <w:rsid w:val="00084F84"/>
    <w:rsid w:val="000863CC"/>
    <w:rsid w:val="000960D0"/>
    <w:rsid w:val="000974CE"/>
    <w:rsid w:val="000B445A"/>
    <w:rsid w:val="000C0AE2"/>
    <w:rsid w:val="000C7E97"/>
    <w:rsid w:val="000E2691"/>
    <w:rsid w:val="000E3E96"/>
    <w:rsid w:val="000E4A17"/>
    <w:rsid w:val="000E4B67"/>
    <w:rsid w:val="000F3F2E"/>
    <w:rsid w:val="000F4CEA"/>
    <w:rsid w:val="000F61A9"/>
    <w:rsid w:val="00111D83"/>
    <w:rsid w:val="00114DBB"/>
    <w:rsid w:val="00117F43"/>
    <w:rsid w:val="0013302B"/>
    <w:rsid w:val="001337D8"/>
    <w:rsid w:val="00134413"/>
    <w:rsid w:val="001407E9"/>
    <w:rsid w:val="00142236"/>
    <w:rsid w:val="00152001"/>
    <w:rsid w:val="00152D0A"/>
    <w:rsid w:val="00160A1F"/>
    <w:rsid w:val="00164C73"/>
    <w:rsid w:val="00174915"/>
    <w:rsid w:val="0018058F"/>
    <w:rsid w:val="00180FE9"/>
    <w:rsid w:val="00183AFE"/>
    <w:rsid w:val="00183B2A"/>
    <w:rsid w:val="0018472B"/>
    <w:rsid w:val="00191311"/>
    <w:rsid w:val="0019139C"/>
    <w:rsid w:val="0019310F"/>
    <w:rsid w:val="001940FF"/>
    <w:rsid w:val="0019424D"/>
    <w:rsid w:val="00195109"/>
    <w:rsid w:val="00196B23"/>
    <w:rsid w:val="001A3E1F"/>
    <w:rsid w:val="001B676D"/>
    <w:rsid w:val="001B7428"/>
    <w:rsid w:val="001C07F9"/>
    <w:rsid w:val="001C269A"/>
    <w:rsid w:val="001C3743"/>
    <w:rsid w:val="001D4A93"/>
    <w:rsid w:val="001D70E1"/>
    <w:rsid w:val="001D7EDC"/>
    <w:rsid w:val="001E1973"/>
    <w:rsid w:val="001E45B1"/>
    <w:rsid w:val="0023028F"/>
    <w:rsid w:val="00232456"/>
    <w:rsid w:val="00235722"/>
    <w:rsid w:val="00235F69"/>
    <w:rsid w:val="002507DA"/>
    <w:rsid w:val="002519E2"/>
    <w:rsid w:val="002545BC"/>
    <w:rsid w:val="00261733"/>
    <w:rsid w:val="002648D1"/>
    <w:rsid w:val="00267BD8"/>
    <w:rsid w:val="0027268D"/>
    <w:rsid w:val="00293604"/>
    <w:rsid w:val="0029598A"/>
    <w:rsid w:val="00296903"/>
    <w:rsid w:val="002B5C67"/>
    <w:rsid w:val="002C79AC"/>
    <w:rsid w:val="002D3F24"/>
    <w:rsid w:val="002F04AE"/>
    <w:rsid w:val="002F1C9E"/>
    <w:rsid w:val="002F61C7"/>
    <w:rsid w:val="003022B7"/>
    <w:rsid w:val="00305A78"/>
    <w:rsid w:val="003143F3"/>
    <w:rsid w:val="00316550"/>
    <w:rsid w:val="00323A41"/>
    <w:rsid w:val="0033161F"/>
    <w:rsid w:val="00333C75"/>
    <w:rsid w:val="0034255F"/>
    <w:rsid w:val="0034604F"/>
    <w:rsid w:val="00346F39"/>
    <w:rsid w:val="00350090"/>
    <w:rsid w:val="003776BA"/>
    <w:rsid w:val="003809F4"/>
    <w:rsid w:val="00384646"/>
    <w:rsid w:val="00390873"/>
    <w:rsid w:val="0039229A"/>
    <w:rsid w:val="0039263B"/>
    <w:rsid w:val="00393D31"/>
    <w:rsid w:val="003A3150"/>
    <w:rsid w:val="003B1D9F"/>
    <w:rsid w:val="003B31AF"/>
    <w:rsid w:val="003B47B2"/>
    <w:rsid w:val="003D0C49"/>
    <w:rsid w:val="003D6558"/>
    <w:rsid w:val="003F426D"/>
    <w:rsid w:val="003F4625"/>
    <w:rsid w:val="003F51CF"/>
    <w:rsid w:val="004038B4"/>
    <w:rsid w:val="00404912"/>
    <w:rsid w:val="00405F39"/>
    <w:rsid w:val="00411DDF"/>
    <w:rsid w:val="004162E6"/>
    <w:rsid w:val="004203C1"/>
    <w:rsid w:val="004243D2"/>
    <w:rsid w:val="004367EA"/>
    <w:rsid w:val="00436EE9"/>
    <w:rsid w:val="004410CD"/>
    <w:rsid w:val="00443BDE"/>
    <w:rsid w:val="00460449"/>
    <w:rsid w:val="004622C9"/>
    <w:rsid w:val="00493E1E"/>
    <w:rsid w:val="004A0E63"/>
    <w:rsid w:val="004A4B9B"/>
    <w:rsid w:val="004A6A38"/>
    <w:rsid w:val="004B41E2"/>
    <w:rsid w:val="004B5403"/>
    <w:rsid w:val="004C6A2D"/>
    <w:rsid w:val="004D3E93"/>
    <w:rsid w:val="004E6FFB"/>
    <w:rsid w:val="004E76BC"/>
    <w:rsid w:val="004F7B0B"/>
    <w:rsid w:val="005019B8"/>
    <w:rsid w:val="00506A29"/>
    <w:rsid w:val="00510DF9"/>
    <w:rsid w:val="0051662F"/>
    <w:rsid w:val="00526EC3"/>
    <w:rsid w:val="00531A63"/>
    <w:rsid w:val="00531D27"/>
    <w:rsid w:val="0055140B"/>
    <w:rsid w:val="00563683"/>
    <w:rsid w:val="00573875"/>
    <w:rsid w:val="00585BF4"/>
    <w:rsid w:val="00590F61"/>
    <w:rsid w:val="00592B16"/>
    <w:rsid w:val="0059307A"/>
    <w:rsid w:val="005A405F"/>
    <w:rsid w:val="005B298C"/>
    <w:rsid w:val="005B484C"/>
    <w:rsid w:val="005C51A9"/>
    <w:rsid w:val="005C5C3C"/>
    <w:rsid w:val="005E5768"/>
    <w:rsid w:val="005F4EA6"/>
    <w:rsid w:val="005F64AC"/>
    <w:rsid w:val="00605528"/>
    <w:rsid w:val="00605E59"/>
    <w:rsid w:val="006224AF"/>
    <w:rsid w:val="00635FC5"/>
    <w:rsid w:val="00637292"/>
    <w:rsid w:val="00655481"/>
    <w:rsid w:val="006576EE"/>
    <w:rsid w:val="006769E9"/>
    <w:rsid w:val="006845CC"/>
    <w:rsid w:val="00690A58"/>
    <w:rsid w:val="006912D5"/>
    <w:rsid w:val="006921C0"/>
    <w:rsid w:val="00694744"/>
    <w:rsid w:val="0069605A"/>
    <w:rsid w:val="006973A4"/>
    <w:rsid w:val="00697AE4"/>
    <w:rsid w:val="006A2984"/>
    <w:rsid w:val="006A3943"/>
    <w:rsid w:val="006A7147"/>
    <w:rsid w:val="006B1876"/>
    <w:rsid w:val="006D10EE"/>
    <w:rsid w:val="006D2554"/>
    <w:rsid w:val="006E3672"/>
    <w:rsid w:val="006E4A8C"/>
    <w:rsid w:val="006F7368"/>
    <w:rsid w:val="00701113"/>
    <w:rsid w:val="00702A4E"/>
    <w:rsid w:val="007078DE"/>
    <w:rsid w:val="00712DD6"/>
    <w:rsid w:val="007155F3"/>
    <w:rsid w:val="00722076"/>
    <w:rsid w:val="00725506"/>
    <w:rsid w:val="00734B9C"/>
    <w:rsid w:val="00736546"/>
    <w:rsid w:val="00743C71"/>
    <w:rsid w:val="007517C7"/>
    <w:rsid w:val="00755E0E"/>
    <w:rsid w:val="007619EE"/>
    <w:rsid w:val="00777D7C"/>
    <w:rsid w:val="00782828"/>
    <w:rsid w:val="0078290F"/>
    <w:rsid w:val="00782B3A"/>
    <w:rsid w:val="00784A84"/>
    <w:rsid w:val="007850F7"/>
    <w:rsid w:val="00785BF5"/>
    <w:rsid w:val="00790135"/>
    <w:rsid w:val="007A2EE8"/>
    <w:rsid w:val="007A77EF"/>
    <w:rsid w:val="007C1233"/>
    <w:rsid w:val="007D72FB"/>
    <w:rsid w:val="007D7D73"/>
    <w:rsid w:val="007E3B55"/>
    <w:rsid w:val="007E4A0C"/>
    <w:rsid w:val="007F1339"/>
    <w:rsid w:val="00813A21"/>
    <w:rsid w:val="00830BEA"/>
    <w:rsid w:val="00836F3D"/>
    <w:rsid w:val="00844643"/>
    <w:rsid w:val="00851650"/>
    <w:rsid w:val="00863E9D"/>
    <w:rsid w:val="00865615"/>
    <w:rsid w:val="008660DC"/>
    <w:rsid w:val="00875F5F"/>
    <w:rsid w:val="00884D6B"/>
    <w:rsid w:val="00886782"/>
    <w:rsid w:val="008A2049"/>
    <w:rsid w:val="008B1E32"/>
    <w:rsid w:val="008B3459"/>
    <w:rsid w:val="008B5F5C"/>
    <w:rsid w:val="008C6AE6"/>
    <w:rsid w:val="008D25EB"/>
    <w:rsid w:val="008D531B"/>
    <w:rsid w:val="008E1929"/>
    <w:rsid w:val="008E3974"/>
    <w:rsid w:val="008E4D30"/>
    <w:rsid w:val="008F42D8"/>
    <w:rsid w:val="008F6833"/>
    <w:rsid w:val="00900B51"/>
    <w:rsid w:val="00903937"/>
    <w:rsid w:val="00922051"/>
    <w:rsid w:val="00922864"/>
    <w:rsid w:val="0093049F"/>
    <w:rsid w:val="00955C34"/>
    <w:rsid w:val="0095692D"/>
    <w:rsid w:val="009602D1"/>
    <w:rsid w:val="00964CCF"/>
    <w:rsid w:val="00972FBC"/>
    <w:rsid w:val="00975AAB"/>
    <w:rsid w:val="00987597"/>
    <w:rsid w:val="009930F1"/>
    <w:rsid w:val="009945D3"/>
    <w:rsid w:val="009A13C6"/>
    <w:rsid w:val="009A380B"/>
    <w:rsid w:val="009A791E"/>
    <w:rsid w:val="009B6DB3"/>
    <w:rsid w:val="009C0D04"/>
    <w:rsid w:val="009E772E"/>
    <w:rsid w:val="009F1EDC"/>
    <w:rsid w:val="00A01F8B"/>
    <w:rsid w:val="00A0317C"/>
    <w:rsid w:val="00A0518B"/>
    <w:rsid w:val="00A236F5"/>
    <w:rsid w:val="00A24970"/>
    <w:rsid w:val="00A25976"/>
    <w:rsid w:val="00A35442"/>
    <w:rsid w:val="00A35671"/>
    <w:rsid w:val="00A433D8"/>
    <w:rsid w:val="00A52B3F"/>
    <w:rsid w:val="00A53406"/>
    <w:rsid w:val="00A53DB7"/>
    <w:rsid w:val="00A62F69"/>
    <w:rsid w:val="00A72D8F"/>
    <w:rsid w:val="00A73985"/>
    <w:rsid w:val="00A75833"/>
    <w:rsid w:val="00A80351"/>
    <w:rsid w:val="00A80C9C"/>
    <w:rsid w:val="00A86BDE"/>
    <w:rsid w:val="00A91ABB"/>
    <w:rsid w:val="00AA0B2B"/>
    <w:rsid w:val="00AB1F1E"/>
    <w:rsid w:val="00AB6B1D"/>
    <w:rsid w:val="00AC1EE3"/>
    <w:rsid w:val="00AC506B"/>
    <w:rsid w:val="00AC5B94"/>
    <w:rsid w:val="00AD0289"/>
    <w:rsid w:val="00AD1AF3"/>
    <w:rsid w:val="00AD6D2A"/>
    <w:rsid w:val="00AD6D9E"/>
    <w:rsid w:val="00AE03D3"/>
    <w:rsid w:val="00AE1E8F"/>
    <w:rsid w:val="00AF4C8A"/>
    <w:rsid w:val="00B04AFF"/>
    <w:rsid w:val="00B11B20"/>
    <w:rsid w:val="00B2038E"/>
    <w:rsid w:val="00B24963"/>
    <w:rsid w:val="00B33D2C"/>
    <w:rsid w:val="00B4069A"/>
    <w:rsid w:val="00B41CA8"/>
    <w:rsid w:val="00B43D81"/>
    <w:rsid w:val="00B54CA0"/>
    <w:rsid w:val="00B72EE5"/>
    <w:rsid w:val="00B9211C"/>
    <w:rsid w:val="00B9669D"/>
    <w:rsid w:val="00BB24D9"/>
    <w:rsid w:val="00BB6EAB"/>
    <w:rsid w:val="00BC1437"/>
    <w:rsid w:val="00BC4351"/>
    <w:rsid w:val="00BC4952"/>
    <w:rsid w:val="00BD0C2B"/>
    <w:rsid w:val="00BD0FB0"/>
    <w:rsid w:val="00BD2C0E"/>
    <w:rsid w:val="00BE1B35"/>
    <w:rsid w:val="00BE5D11"/>
    <w:rsid w:val="00BF495F"/>
    <w:rsid w:val="00BF6C29"/>
    <w:rsid w:val="00C05B20"/>
    <w:rsid w:val="00C20449"/>
    <w:rsid w:val="00C22716"/>
    <w:rsid w:val="00C259C7"/>
    <w:rsid w:val="00C30E2D"/>
    <w:rsid w:val="00C37D69"/>
    <w:rsid w:val="00C40BAE"/>
    <w:rsid w:val="00C45616"/>
    <w:rsid w:val="00C512F3"/>
    <w:rsid w:val="00C5228C"/>
    <w:rsid w:val="00C61ECE"/>
    <w:rsid w:val="00C735F0"/>
    <w:rsid w:val="00C76FA8"/>
    <w:rsid w:val="00C81BAD"/>
    <w:rsid w:val="00C848D2"/>
    <w:rsid w:val="00C87023"/>
    <w:rsid w:val="00C91047"/>
    <w:rsid w:val="00C939EE"/>
    <w:rsid w:val="00C95072"/>
    <w:rsid w:val="00C9541A"/>
    <w:rsid w:val="00CA35EF"/>
    <w:rsid w:val="00CB6D71"/>
    <w:rsid w:val="00CC0FBD"/>
    <w:rsid w:val="00CC19B1"/>
    <w:rsid w:val="00CC6126"/>
    <w:rsid w:val="00CC7026"/>
    <w:rsid w:val="00CD45BF"/>
    <w:rsid w:val="00CE44FC"/>
    <w:rsid w:val="00D0645B"/>
    <w:rsid w:val="00D14397"/>
    <w:rsid w:val="00D1795F"/>
    <w:rsid w:val="00D31C49"/>
    <w:rsid w:val="00D34821"/>
    <w:rsid w:val="00D34AF5"/>
    <w:rsid w:val="00D42D46"/>
    <w:rsid w:val="00D44372"/>
    <w:rsid w:val="00D479C8"/>
    <w:rsid w:val="00D7691C"/>
    <w:rsid w:val="00D77627"/>
    <w:rsid w:val="00D82BFC"/>
    <w:rsid w:val="00D8672A"/>
    <w:rsid w:val="00DA2AA3"/>
    <w:rsid w:val="00DB2A74"/>
    <w:rsid w:val="00DC10DE"/>
    <w:rsid w:val="00DD28E3"/>
    <w:rsid w:val="00DD602E"/>
    <w:rsid w:val="00DD6613"/>
    <w:rsid w:val="00DE1FA3"/>
    <w:rsid w:val="00DF4C81"/>
    <w:rsid w:val="00DF68F7"/>
    <w:rsid w:val="00E11ACE"/>
    <w:rsid w:val="00E11C8E"/>
    <w:rsid w:val="00E20EA4"/>
    <w:rsid w:val="00E33AE8"/>
    <w:rsid w:val="00E34F05"/>
    <w:rsid w:val="00E35E9D"/>
    <w:rsid w:val="00E3748E"/>
    <w:rsid w:val="00E44627"/>
    <w:rsid w:val="00E4772E"/>
    <w:rsid w:val="00E744EE"/>
    <w:rsid w:val="00E74A2F"/>
    <w:rsid w:val="00E74BE5"/>
    <w:rsid w:val="00E85289"/>
    <w:rsid w:val="00E87D41"/>
    <w:rsid w:val="00E9353D"/>
    <w:rsid w:val="00E96F38"/>
    <w:rsid w:val="00EB6CD4"/>
    <w:rsid w:val="00ED0320"/>
    <w:rsid w:val="00ED21F1"/>
    <w:rsid w:val="00ED2ED4"/>
    <w:rsid w:val="00ED6B24"/>
    <w:rsid w:val="00EE04A6"/>
    <w:rsid w:val="00EF6849"/>
    <w:rsid w:val="00EF68CD"/>
    <w:rsid w:val="00F006AF"/>
    <w:rsid w:val="00F013AC"/>
    <w:rsid w:val="00F10815"/>
    <w:rsid w:val="00F274EE"/>
    <w:rsid w:val="00F37E75"/>
    <w:rsid w:val="00F46160"/>
    <w:rsid w:val="00F5143A"/>
    <w:rsid w:val="00F5262D"/>
    <w:rsid w:val="00F605D1"/>
    <w:rsid w:val="00F64304"/>
    <w:rsid w:val="00F81C52"/>
    <w:rsid w:val="00F862A3"/>
    <w:rsid w:val="00F951F4"/>
    <w:rsid w:val="00F9566C"/>
    <w:rsid w:val="00F9770C"/>
    <w:rsid w:val="00FA1A7E"/>
    <w:rsid w:val="00FA48F2"/>
    <w:rsid w:val="00FB1A2F"/>
    <w:rsid w:val="00FB3AD4"/>
    <w:rsid w:val="00FB3DC4"/>
    <w:rsid w:val="00FB5DE3"/>
    <w:rsid w:val="00FC3ABE"/>
    <w:rsid w:val="00FD3A3B"/>
    <w:rsid w:val="00FD3E85"/>
    <w:rsid w:val="00FD6A5B"/>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30F3CEC2-9839-499D-AAE1-CB5BE648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LU" w:eastAsia="fr-L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2E"/>
    <w:pPr>
      <w:spacing w:before="120" w:after="160" w:line="240" w:lineRule="exact"/>
      <w:jc w:val="both"/>
    </w:pPr>
    <w:rPr>
      <w:rFonts w:ascii="Arial" w:hAnsi="Arial"/>
      <w:szCs w:val="22"/>
      <w:lang w:eastAsia="en-US"/>
    </w:rPr>
  </w:style>
  <w:style w:type="paragraph" w:styleId="Heading1">
    <w:name w:val="heading 1"/>
    <w:basedOn w:val="IntenseQuote"/>
    <w:link w:val="Heading1Char"/>
    <w:qFormat/>
    <w:rsid w:val="00D42D46"/>
    <w:pPr>
      <w:keepNext/>
      <w:keepLines/>
      <w:spacing w:after="120"/>
      <w:outlineLvl w:val="0"/>
    </w:pPr>
    <w:rPr>
      <w:rFonts w:eastAsiaTheme="majorEastAsia" w:cstheme="majorBidi"/>
      <w:szCs w:val="32"/>
    </w:rPr>
  </w:style>
  <w:style w:type="paragraph" w:styleId="Heading2">
    <w:name w:val="heading 2"/>
    <w:basedOn w:val="Normal"/>
    <w:next w:val="Heading3"/>
    <w:link w:val="Heading2Char"/>
    <w:unhideWhenUsed/>
    <w:qFormat/>
    <w:rsid w:val="009E772E"/>
    <w:pPr>
      <w:keepNext/>
      <w:keepLines/>
      <w:spacing w:after="120"/>
      <w:jc w:val="center"/>
      <w:outlineLvl w:val="1"/>
    </w:pPr>
    <w:rPr>
      <w:rFonts w:eastAsiaTheme="majorEastAsia" w:cstheme="majorBidi"/>
      <w:b/>
      <w:color w:val="1F4E79" w:themeColor="accent1" w:themeShade="80"/>
      <w:sz w:val="24"/>
      <w:szCs w:val="26"/>
    </w:rPr>
  </w:style>
  <w:style w:type="paragraph" w:styleId="Heading3">
    <w:name w:val="heading 3"/>
    <w:basedOn w:val="Normal"/>
    <w:next w:val="Normal"/>
    <w:link w:val="Heading3Char"/>
    <w:unhideWhenUsed/>
    <w:qFormat/>
    <w:rsid w:val="00813A21"/>
    <w:pPr>
      <w:keepNext/>
      <w:keepLines/>
      <w:spacing w:after="120"/>
      <w:ind w:left="567"/>
      <w:outlineLvl w:val="2"/>
    </w:pPr>
    <w:rPr>
      <w:rFonts w:eastAsiaTheme="majorEastAsia" w:cstheme="majorBidi"/>
      <w:b/>
      <w:color w:val="1F4D78" w:themeColor="accent1" w:themeShade="7F"/>
      <w:sz w:val="22"/>
      <w:szCs w:val="24"/>
    </w:rPr>
  </w:style>
  <w:style w:type="paragraph" w:styleId="Heading4">
    <w:name w:val="heading 4"/>
    <w:basedOn w:val="Normal"/>
    <w:next w:val="Normal"/>
    <w:link w:val="Heading4Char"/>
    <w:unhideWhenUsed/>
    <w:qFormat/>
    <w:rsid w:val="002648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BlockText"/>
    <w:next w:val="Normal"/>
    <w:link w:val="Heading5Char"/>
    <w:qFormat/>
    <w:rsid w:val="0051662F"/>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51662F"/>
    <w:pPr>
      <w:keepNext/>
      <w:spacing w:before="60" w:after="0" w:line="240" w:lineRule="auto"/>
      <w:jc w:val="center"/>
      <w:outlineLvl w:val="5"/>
    </w:pPr>
    <w:rPr>
      <w:rFonts w:ascii="Calibri" w:eastAsia="Times New Roman" w:hAnsi="Calibri"/>
      <w:b/>
      <w:bCs/>
      <w:szCs w:val="20"/>
      <w:lang w:val="en-GB" w:eastAsia="en-GB"/>
    </w:rPr>
  </w:style>
  <w:style w:type="paragraph" w:styleId="Heading7">
    <w:name w:val="heading 7"/>
    <w:basedOn w:val="Normal"/>
    <w:next w:val="Normal"/>
    <w:link w:val="Heading7Char"/>
    <w:qFormat/>
    <w:rsid w:val="0051662F"/>
    <w:pPr>
      <w:keepNext/>
      <w:spacing w:before="60" w:after="0" w:line="240" w:lineRule="auto"/>
      <w:jc w:val="left"/>
      <w:outlineLvl w:val="6"/>
    </w:pPr>
    <w:rPr>
      <w:rFonts w:ascii="Calibri" w:eastAsia="Times New Roman" w:hAnsi="Calibri"/>
      <w:sz w:val="24"/>
      <w:szCs w:val="24"/>
      <w:lang w:val="en-GB" w:eastAsia="en-GB"/>
    </w:rPr>
  </w:style>
  <w:style w:type="paragraph" w:styleId="Heading8">
    <w:name w:val="heading 8"/>
    <w:basedOn w:val="Heading3"/>
    <w:next w:val="Normal"/>
    <w:link w:val="Heading8Char"/>
    <w:qFormat/>
    <w:rsid w:val="0051662F"/>
    <w:pPr>
      <w:keepNext w:val="0"/>
      <w:keepLines w:val="0"/>
      <w:tabs>
        <w:tab w:val="left" w:pos="2835"/>
        <w:tab w:val="left" w:pos="3119"/>
        <w:tab w:val="left" w:pos="3402"/>
        <w:tab w:val="left" w:pos="3686"/>
      </w:tabs>
      <w:spacing w:before="240" w:after="60" w:line="260" w:lineRule="exact"/>
      <w:ind w:left="2552" w:right="1701"/>
      <w:outlineLvl w:val="7"/>
    </w:pPr>
    <w:rPr>
      <w:rFonts w:ascii="Calibri" w:eastAsia="Times New Roman" w:hAnsi="Calibri" w:cs="Times New Roman"/>
      <w:b w:val="0"/>
      <w:i/>
      <w:iCs/>
      <w:color w:val="auto"/>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A714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A7147"/>
    <w:rPr>
      <w:rFonts w:asciiTheme="minorHAnsi" w:eastAsiaTheme="minorEastAsia" w:hAnsiTheme="minorHAnsi" w:cstheme="minorBidi"/>
      <w:sz w:val="22"/>
      <w:szCs w:val="22"/>
      <w:lang w:val="en-US" w:eastAsia="en-US"/>
    </w:rPr>
  </w:style>
  <w:style w:type="character" w:styleId="Hyperlink">
    <w:name w:val="Hyperlink"/>
    <w:rsid w:val="006A7147"/>
    <w:rPr>
      <w:color w:val="0066FF"/>
      <w:u w:val="single"/>
    </w:rPr>
  </w:style>
  <w:style w:type="paragraph" w:styleId="Header">
    <w:name w:val="header"/>
    <w:basedOn w:val="Normal"/>
    <w:link w:val="HeaderChar"/>
    <w:unhideWhenUsed/>
    <w:rsid w:val="00ED6B24"/>
    <w:pPr>
      <w:tabs>
        <w:tab w:val="center" w:pos="4513"/>
        <w:tab w:val="right" w:pos="9026"/>
      </w:tabs>
      <w:spacing w:before="0" w:after="0" w:line="240" w:lineRule="auto"/>
    </w:pPr>
  </w:style>
  <w:style w:type="character" w:customStyle="1" w:styleId="HeaderChar">
    <w:name w:val="Header Char"/>
    <w:basedOn w:val="DefaultParagraphFont"/>
    <w:link w:val="Header"/>
    <w:rsid w:val="00ED6B24"/>
    <w:rPr>
      <w:rFonts w:ascii="Arial" w:hAnsi="Arial"/>
      <w:szCs w:val="22"/>
      <w:lang w:eastAsia="en-US"/>
    </w:rPr>
  </w:style>
  <w:style w:type="paragraph" w:styleId="Footer">
    <w:name w:val="footer"/>
    <w:basedOn w:val="Normal"/>
    <w:link w:val="FooterChar"/>
    <w:unhideWhenUsed/>
    <w:rsid w:val="00ED6B24"/>
    <w:pPr>
      <w:tabs>
        <w:tab w:val="center" w:pos="4513"/>
        <w:tab w:val="right" w:pos="9026"/>
      </w:tabs>
      <w:spacing w:before="0" w:after="0" w:line="240" w:lineRule="auto"/>
    </w:pPr>
  </w:style>
  <w:style w:type="character" w:customStyle="1" w:styleId="FooterChar">
    <w:name w:val="Footer Char"/>
    <w:basedOn w:val="DefaultParagraphFont"/>
    <w:link w:val="Footer"/>
    <w:rsid w:val="00ED6B24"/>
    <w:rPr>
      <w:rFonts w:ascii="Arial" w:hAnsi="Arial"/>
      <w:szCs w:val="22"/>
      <w:lang w:eastAsia="en-US"/>
    </w:rPr>
  </w:style>
  <w:style w:type="paragraph" w:styleId="IntenseQuote">
    <w:name w:val="Intense Quote"/>
    <w:basedOn w:val="Normal"/>
    <w:next w:val="Normal"/>
    <w:link w:val="IntenseQuoteChar"/>
    <w:uiPriority w:val="30"/>
    <w:qFormat/>
    <w:rsid w:val="003B1D9F"/>
    <w:pPr>
      <w:pBdr>
        <w:top w:val="single" w:sz="4" w:space="10" w:color="5B9BD5" w:themeColor="accent1"/>
        <w:bottom w:val="single" w:sz="4" w:space="10" w:color="5B9BD5" w:themeColor="accent1"/>
      </w:pBdr>
      <w:spacing w:before="480" w:after="240"/>
      <w:ind w:right="-45"/>
      <w:jc w:val="center"/>
    </w:pPr>
    <w:rPr>
      <w:rFonts w:ascii="Times New Roman" w:hAnsi="Times New Roman"/>
      <w:b/>
      <w:i/>
      <w:iCs/>
      <w:color w:val="2E74B5" w:themeColor="accent1" w:themeShade="BF"/>
      <w:sz w:val="24"/>
    </w:rPr>
  </w:style>
  <w:style w:type="character" w:customStyle="1" w:styleId="IntenseQuoteChar">
    <w:name w:val="Intense Quote Char"/>
    <w:basedOn w:val="DefaultParagraphFont"/>
    <w:link w:val="IntenseQuote"/>
    <w:uiPriority w:val="30"/>
    <w:rsid w:val="003B1D9F"/>
    <w:rPr>
      <w:rFonts w:ascii="Times New Roman" w:hAnsi="Times New Roman"/>
      <w:b/>
      <w:i/>
      <w:iCs/>
      <w:color w:val="2E74B5" w:themeColor="accent1" w:themeShade="BF"/>
      <w:sz w:val="24"/>
      <w:szCs w:val="22"/>
      <w:lang w:eastAsia="en-US"/>
    </w:rPr>
  </w:style>
  <w:style w:type="character" w:customStyle="1" w:styleId="Heading1Char">
    <w:name w:val="Heading 1 Char"/>
    <w:basedOn w:val="DefaultParagraphFont"/>
    <w:link w:val="Heading1"/>
    <w:rsid w:val="00D42D46"/>
    <w:rPr>
      <w:rFonts w:ascii="Times New Roman" w:eastAsiaTheme="majorEastAsia" w:hAnsi="Times New Roman" w:cstheme="majorBidi"/>
      <w:b/>
      <w:i/>
      <w:iCs/>
      <w:color w:val="2E74B5" w:themeColor="accent1" w:themeShade="BF"/>
      <w:sz w:val="24"/>
      <w:szCs w:val="32"/>
      <w:lang w:eastAsia="en-US"/>
    </w:rPr>
  </w:style>
  <w:style w:type="character" w:customStyle="1" w:styleId="Heading2Char">
    <w:name w:val="Heading 2 Char"/>
    <w:basedOn w:val="DefaultParagraphFont"/>
    <w:link w:val="Heading2"/>
    <w:rsid w:val="009E772E"/>
    <w:rPr>
      <w:rFonts w:ascii="Arial" w:eastAsiaTheme="majorEastAsia" w:hAnsi="Arial" w:cstheme="majorBidi"/>
      <w:b/>
      <w:color w:val="1F4E79" w:themeColor="accent1" w:themeShade="80"/>
      <w:sz w:val="24"/>
      <w:szCs w:val="26"/>
      <w:lang w:eastAsia="en-US"/>
    </w:rPr>
  </w:style>
  <w:style w:type="paragraph" w:styleId="BodyText">
    <w:name w:val="Body Text"/>
    <w:basedOn w:val="Normal"/>
    <w:link w:val="BodyTextChar"/>
    <w:rsid w:val="003B1D9F"/>
    <w:pPr>
      <w:autoSpaceDE w:val="0"/>
      <w:autoSpaceDN w:val="0"/>
      <w:adjustRightInd w:val="0"/>
      <w:spacing w:before="60" w:after="0" w:line="240" w:lineRule="auto"/>
    </w:pPr>
    <w:rPr>
      <w:rFonts w:ascii="Times New Roman" w:eastAsia="Times New Roman" w:hAnsi="Times New Roman"/>
      <w:sz w:val="18"/>
      <w:szCs w:val="20"/>
      <w:lang w:val="en-GB" w:eastAsia="en-GB"/>
    </w:rPr>
  </w:style>
  <w:style w:type="character" w:customStyle="1" w:styleId="BodyTextChar">
    <w:name w:val="Body Text Char"/>
    <w:basedOn w:val="DefaultParagraphFont"/>
    <w:link w:val="BodyText"/>
    <w:rsid w:val="003B1D9F"/>
    <w:rPr>
      <w:rFonts w:ascii="Times New Roman" w:eastAsia="Times New Roman" w:hAnsi="Times New Roman"/>
      <w:sz w:val="18"/>
      <w:lang w:val="en-GB" w:eastAsia="en-GB"/>
    </w:rPr>
  </w:style>
  <w:style w:type="table" w:styleId="TableGrid">
    <w:name w:val="Table Grid"/>
    <w:basedOn w:val="TableNormal"/>
    <w:rsid w:val="00230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2302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qFormat/>
    <w:rsid w:val="008E1929"/>
    <w:pPr>
      <w:ind w:left="720"/>
      <w:contextualSpacing/>
    </w:pPr>
  </w:style>
  <w:style w:type="table" w:styleId="GridTable1Light-Accent1">
    <w:name w:val="Grid Table 1 Light Accent 1"/>
    <w:basedOn w:val="TableNormal"/>
    <w:uiPriority w:val="46"/>
    <w:rsid w:val="00884D6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semiHidden/>
    <w:unhideWhenUsed/>
    <w:rsid w:val="0029598A"/>
    <w:pPr>
      <w:spacing w:before="0" w:after="0" w:line="240" w:lineRule="auto"/>
    </w:pPr>
    <w:rPr>
      <w:sz w:val="18"/>
      <w:szCs w:val="20"/>
    </w:rPr>
  </w:style>
  <w:style w:type="character" w:customStyle="1" w:styleId="FootnoteTextChar">
    <w:name w:val="Footnote Text Char"/>
    <w:basedOn w:val="DefaultParagraphFont"/>
    <w:link w:val="FootnoteText"/>
    <w:semiHidden/>
    <w:rsid w:val="0029598A"/>
    <w:rPr>
      <w:rFonts w:ascii="Arial" w:hAnsi="Arial"/>
      <w:sz w:val="18"/>
      <w:lang w:eastAsia="en-US"/>
    </w:rPr>
  </w:style>
  <w:style w:type="character" w:styleId="FootnoteReference">
    <w:name w:val="footnote reference"/>
    <w:basedOn w:val="DefaultParagraphFont"/>
    <w:unhideWhenUsed/>
    <w:rsid w:val="00C45616"/>
    <w:rPr>
      <w:vertAlign w:val="superscript"/>
    </w:rPr>
  </w:style>
  <w:style w:type="character" w:customStyle="1" w:styleId="Heading3Char">
    <w:name w:val="Heading 3 Char"/>
    <w:basedOn w:val="DefaultParagraphFont"/>
    <w:link w:val="Heading3"/>
    <w:rsid w:val="00813A21"/>
    <w:rPr>
      <w:rFonts w:ascii="Arial" w:eastAsiaTheme="majorEastAsia" w:hAnsi="Arial" w:cstheme="majorBidi"/>
      <w:b/>
      <w:color w:val="1F4D78" w:themeColor="accent1" w:themeShade="7F"/>
      <w:sz w:val="22"/>
      <w:szCs w:val="24"/>
      <w:lang w:eastAsia="en-US"/>
    </w:rPr>
  </w:style>
  <w:style w:type="paragraph" w:styleId="BalloonText">
    <w:name w:val="Balloon Text"/>
    <w:basedOn w:val="Normal"/>
    <w:link w:val="BalloonTextChar"/>
    <w:unhideWhenUsed/>
    <w:rsid w:val="007D7D7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D7D73"/>
    <w:rPr>
      <w:rFonts w:ascii="Segoe UI" w:hAnsi="Segoe UI" w:cs="Segoe UI"/>
      <w:sz w:val="18"/>
      <w:szCs w:val="18"/>
      <w:lang w:eastAsia="en-US"/>
    </w:rPr>
  </w:style>
  <w:style w:type="paragraph" w:styleId="BlockText">
    <w:name w:val="Block Text"/>
    <w:aliases w:val="CSFF"/>
    <w:basedOn w:val="Normal"/>
    <w:link w:val="BlockTextChar"/>
    <w:uiPriority w:val="99"/>
    <w:rsid w:val="002507DA"/>
    <w:pPr>
      <w:tabs>
        <w:tab w:val="left" w:pos="2835"/>
        <w:tab w:val="left" w:pos="3119"/>
        <w:tab w:val="left" w:pos="3402"/>
        <w:tab w:val="left" w:pos="3686"/>
      </w:tabs>
      <w:spacing w:before="60" w:after="120" w:line="260" w:lineRule="exact"/>
      <w:ind w:left="2549" w:right="1699"/>
    </w:pPr>
    <w:rPr>
      <w:rFonts w:eastAsia="Times"/>
      <w:sz w:val="18"/>
      <w:szCs w:val="20"/>
      <w:lang w:val="en-GB" w:eastAsia="en-GB"/>
    </w:rPr>
  </w:style>
  <w:style w:type="character" w:customStyle="1" w:styleId="BlockTextChar">
    <w:name w:val="Block Text Char"/>
    <w:aliases w:val="CSFF Char"/>
    <w:link w:val="BlockText"/>
    <w:uiPriority w:val="99"/>
    <w:locked/>
    <w:rsid w:val="002507DA"/>
    <w:rPr>
      <w:rFonts w:ascii="Arial" w:eastAsia="Times" w:hAnsi="Arial"/>
      <w:sz w:val="18"/>
      <w:lang w:val="en-GB" w:eastAsia="en-GB"/>
    </w:rPr>
  </w:style>
  <w:style w:type="character" w:customStyle="1" w:styleId="Heading4Char">
    <w:name w:val="Heading 4 Char"/>
    <w:basedOn w:val="DefaultParagraphFont"/>
    <w:link w:val="Heading4"/>
    <w:rsid w:val="002648D1"/>
    <w:rPr>
      <w:rFonts w:asciiTheme="majorHAnsi" w:eastAsiaTheme="majorEastAsia" w:hAnsiTheme="majorHAnsi" w:cstheme="majorBidi"/>
      <w:i/>
      <w:iCs/>
      <w:color w:val="2E74B5" w:themeColor="accent1" w:themeShade="BF"/>
      <w:szCs w:val="22"/>
      <w:lang w:eastAsia="en-US"/>
    </w:rPr>
  </w:style>
  <w:style w:type="character" w:styleId="CommentReference">
    <w:name w:val="annotation reference"/>
    <w:basedOn w:val="DefaultParagraphFont"/>
    <w:unhideWhenUsed/>
    <w:rsid w:val="00573875"/>
    <w:rPr>
      <w:sz w:val="16"/>
      <w:szCs w:val="16"/>
    </w:rPr>
  </w:style>
  <w:style w:type="paragraph" w:styleId="CommentText">
    <w:name w:val="annotation text"/>
    <w:basedOn w:val="Normal"/>
    <w:link w:val="CommentTextChar"/>
    <w:unhideWhenUsed/>
    <w:rsid w:val="00573875"/>
    <w:pPr>
      <w:spacing w:before="240" w:after="360" w:line="240" w:lineRule="auto"/>
    </w:pPr>
    <w:rPr>
      <w:szCs w:val="20"/>
    </w:rPr>
  </w:style>
  <w:style w:type="character" w:customStyle="1" w:styleId="CommentTextChar">
    <w:name w:val="Comment Text Char"/>
    <w:basedOn w:val="DefaultParagraphFont"/>
    <w:link w:val="CommentText"/>
    <w:rsid w:val="00573875"/>
    <w:rPr>
      <w:rFonts w:ascii="Arial" w:hAnsi="Arial"/>
      <w:lang w:eastAsia="en-US"/>
    </w:rPr>
  </w:style>
  <w:style w:type="table" w:styleId="PlainTable2">
    <w:name w:val="Plain Table 2"/>
    <w:basedOn w:val="TableNormal"/>
    <w:uiPriority w:val="42"/>
    <w:rsid w:val="00A051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rsid w:val="0051662F"/>
    <w:rPr>
      <w:rFonts w:eastAsia="Times New Roman"/>
      <w:b/>
      <w:bCs/>
      <w:i/>
      <w:iCs/>
      <w:sz w:val="26"/>
      <w:szCs w:val="26"/>
      <w:lang w:val="en-GB" w:eastAsia="en-GB"/>
    </w:rPr>
  </w:style>
  <w:style w:type="character" w:customStyle="1" w:styleId="Heading6Char">
    <w:name w:val="Heading 6 Char"/>
    <w:basedOn w:val="DefaultParagraphFont"/>
    <w:link w:val="Heading6"/>
    <w:rsid w:val="0051662F"/>
    <w:rPr>
      <w:rFonts w:eastAsia="Times New Roman"/>
      <w:b/>
      <w:bCs/>
      <w:lang w:val="en-GB" w:eastAsia="en-GB"/>
    </w:rPr>
  </w:style>
  <w:style w:type="character" w:customStyle="1" w:styleId="Heading7Char">
    <w:name w:val="Heading 7 Char"/>
    <w:basedOn w:val="DefaultParagraphFont"/>
    <w:link w:val="Heading7"/>
    <w:rsid w:val="0051662F"/>
    <w:rPr>
      <w:rFonts w:eastAsia="Times New Roman"/>
      <w:sz w:val="24"/>
      <w:szCs w:val="24"/>
      <w:lang w:val="en-GB" w:eastAsia="en-GB"/>
    </w:rPr>
  </w:style>
  <w:style w:type="character" w:customStyle="1" w:styleId="Heading8Char">
    <w:name w:val="Heading 8 Char"/>
    <w:basedOn w:val="DefaultParagraphFont"/>
    <w:link w:val="Heading8"/>
    <w:rsid w:val="0051662F"/>
    <w:rPr>
      <w:rFonts w:eastAsia="Times New Roman"/>
      <w:i/>
      <w:iCs/>
      <w:sz w:val="24"/>
      <w:szCs w:val="24"/>
      <w:lang w:val="en-GB" w:eastAsia="en-GB"/>
    </w:rPr>
  </w:style>
  <w:style w:type="character" w:styleId="PageNumber">
    <w:name w:val="page number"/>
    <w:basedOn w:val="DefaultParagraphFont"/>
    <w:rsid w:val="0051662F"/>
  </w:style>
  <w:style w:type="numbering" w:customStyle="1" w:styleId="NoList1">
    <w:name w:val="No List1"/>
    <w:next w:val="NoList"/>
    <w:uiPriority w:val="99"/>
    <w:semiHidden/>
    <w:unhideWhenUsed/>
    <w:rsid w:val="0051662F"/>
  </w:style>
  <w:style w:type="paragraph" w:styleId="BodyText2">
    <w:name w:val="Body Text 2"/>
    <w:basedOn w:val="Normal"/>
    <w:link w:val="BodyText2Char"/>
    <w:rsid w:val="0051662F"/>
    <w:pPr>
      <w:spacing w:before="60" w:after="120" w:line="480" w:lineRule="auto"/>
      <w:jc w:val="left"/>
    </w:pPr>
    <w:rPr>
      <w:rFonts w:eastAsia="Times New Roman"/>
      <w:szCs w:val="20"/>
      <w:lang w:val="en-GB" w:eastAsia="en-GB"/>
    </w:rPr>
  </w:style>
  <w:style w:type="character" w:customStyle="1" w:styleId="BodyText2Char">
    <w:name w:val="Body Text 2 Char"/>
    <w:basedOn w:val="DefaultParagraphFont"/>
    <w:link w:val="BodyText2"/>
    <w:rsid w:val="0051662F"/>
    <w:rPr>
      <w:rFonts w:ascii="Arial" w:eastAsia="Times New Roman" w:hAnsi="Arial"/>
      <w:lang w:val="en-GB" w:eastAsia="en-GB"/>
    </w:rPr>
  </w:style>
  <w:style w:type="paragraph" w:customStyle="1" w:styleId="filetbleu">
    <w:name w:val="filet bleu"/>
    <w:rsid w:val="0051662F"/>
    <w:pPr>
      <w:pBdr>
        <w:bottom w:val="single" w:sz="4" w:space="1" w:color="27547E"/>
      </w:pBdr>
      <w:ind w:left="1474" w:right="1701"/>
    </w:pPr>
    <w:rPr>
      <w:rFonts w:ascii="Arial" w:eastAsia="Times" w:hAnsi="Arial"/>
      <w:noProof/>
      <w:color w:val="27547E"/>
      <w:lang w:val="en-GB" w:eastAsia="en-GB"/>
    </w:rPr>
  </w:style>
  <w:style w:type="paragraph" w:customStyle="1" w:styleId="Heading2CSSF">
    <w:name w:val="Heading 2 : CSSF"/>
    <w:rsid w:val="0051662F"/>
    <w:pPr>
      <w:numPr>
        <w:numId w:val="5"/>
      </w:numPr>
      <w:spacing w:before="120" w:after="60"/>
      <w:ind w:right="1701"/>
    </w:pPr>
    <w:rPr>
      <w:rFonts w:ascii="Arial" w:eastAsia="Times" w:hAnsi="Arial"/>
      <w:b/>
      <w:caps/>
      <w:noProof/>
      <w:color w:val="D48625"/>
      <w:lang w:val="en-GB" w:eastAsia="en-GB"/>
    </w:rPr>
  </w:style>
  <w:style w:type="paragraph" w:customStyle="1" w:styleId="LIste">
    <w:name w:val="LIste"/>
    <w:basedOn w:val="BlockText"/>
    <w:rsid w:val="0051662F"/>
    <w:pPr>
      <w:numPr>
        <w:numId w:val="6"/>
      </w:numPr>
      <w:ind w:left="3119" w:right="1701" w:hanging="284"/>
    </w:pPr>
    <w:rPr>
      <w:rFonts w:eastAsia="Times New Roman"/>
    </w:rPr>
  </w:style>
  <w:style w:type="paragraph" w:customStyle="1" w:styleId="filettexte">
    <w:name w:val="filet texte"/>
    <w:basedOn w:val="filetbleu"/>
    <w:rsid w:val="0051662F"/>
    <w:pPr>
      <w:spacing w:before="60" w:after="60"/>
      <w:ind w:left="2552"/>
    </w:pPr>
  </w:style>
  <w:style w:type="character" w:styleId="FollowedHyperlink">
    <w:name w:val="FollowedHyperlink"/>
    <w:rsid w:val="0051662F"/>
    <w:rPr>
      <w:rFonts w:cs="Times New Roman"/>
      <w:color w:val="606420"/>
      <w:u w:val="single"/>
      <w:lang w:val="en-GB" w:eastAsia="en-GB"/>
    </w:rPr>
  </w:style>
  <w:style w:type="paragraph" w:customStyle="1" w:styleId="Default">
    <w:name w:val="Default"/>
    <w:rsid w:val="0051662F"/>
    <w:pPr>
      <w:autoSpaceDE w:val="0"/>
      <w:autoSpaceDN w:val="0"/>
      <w:adjustRightInd w:val="0"/>
    </w:pPr>
    <w:rPr>
      <w:rFonts w:ascii="Times New Roman" w:eastAsia="Times New Roman" w:hAnsi="Times New Roman"/>
      <w:color w:val="000000"/>
      <w:sz w:val="24"/>
      <w:szCs w:val="24"/>
      <w:lang w:val="en-GB" w:eastAsia="en-GB"/>
    </w:rPr>
  </w:style>
  <w:style w:type="paragraph" w:styleId="NormalWeb">
    <w:name w:val="Normal (Web)"/>
    <w:basedOn w:val="Normal"/>
    <w:rsid w:val="0051662F"/>
    <w:pPr>
      <w:spacing w:before="0" w:after="0" w:line="240" w:lineRule="auto"/>
      <w:jc w:val="left"/>
    </w:pPr>
    <w:rPr>
      <w:rFonts w:ascii="Times New Roman" w:eastAsia="Times New Roman" w:hAnsi="Times New Roman"/>
      <w:color w:val="333333"/>
      <w:sz w:val="18"/>
      <w:szCs w:val="18"/>
      <w:lang w:val="en-US"/>
    </w:rPr>
  </w:style>
  <w:style w:type="character" w:customStyle="1" w:styleId="apple-converted-space">
    <w:name w:val="apple-converted-space"/>
    <w:rsid w:val="0051662F"/>
  </w:style>
  <w:style w:type="paragraph" w:customStyle="1" w:styleId="GeneralText">
    <w:name w:val="General Text"/>
    <w:basedOn w:val="Normal"/>
    <w:rsid w:val="0051662F"/>
    <w:pPr>
      <w:spacing w:before="0" w:after="0" w:line="240" w:lineRule="auto"/>
    </w:pPr>
    <w:rPr>
      <w:rFonts w:ascii="Times New Roman" w:eastAsia="Times New Roman" w:hAnsi="Times New Roman"/>
      <w:sz w:val="24"/>
      <w:szCs w:val="20"/>
      <w:lang w:val="en-US"/>
    </w:rPr>
  </w:style>
  <w:style w:type="paragraph" w:styleId="DocumentMap">
    <w:name w:val="Document Map"/>
    <w:basedOn w:val="Normal"/>
    <w:link w:val="DocumentMapChar"/>
    <w:rsid w:val="0051662F"/>
    <w:pPr>
      <w:shd w:val="clear" w:color="auto" w:fill="000080"/>
      <w:spacing w:before="60" w:after="0" w:line="240" w:lineRule="auto"/>
      <w:jc w:val="left"/>
    </w:pPr>
    <w:rPr>
      <w:rFonts w:ascii="Times New Roman" w:eastAsia="Times New Roman" w:hAnsi="Times New Roman"/>
      <w:sz w:val="2"/>
      <w:szCs w:val="20"/>
      <w:lang w:val="en-GB" w:eastAsia="en-GB"/>
    </w:rPr>
  </w:style>
  <w:style w:type="character" w:customStyle="1" w:styleId="DocumentMapChar">
    <w:name w:val="Document Map Char"/>
    <w:basedOn w:val="DefaultParagraphFont"/>
    <w:link w:val="DocumentMap"/>
    <w:rsid w:val="0051662F"/>
    <w:rPr>
      <w:rFonts w:ascii="Times New Roman" w:eastAsia="Times New Roman" w:hAnsi="Times New Roman"/>
      <w:sz w:val="2"/>
      <w:shd w:val="clear" w:color="auto" w:fill="000080"/>
      <w:lang w:val="en-GB" w:eastAsia="en-GB"/>
    </w:rPr>
  </w:style>
  <w:style w:type="paragraph" w:styleId="CommentSubject">
    <w:name w:val="annotation subject"/>
    <w:basedOn w:val="CommentText"/>
    <w:next w:val="CommentText"/>
    <w:link w:val="CommentSubjectChar"/>
    <w:rsid w:val="0051662F"/>
    <w:pPr>
      <w:spacing w:before="60" w:after="0"/>
      <w:jc w:val="left"/>
    </w:pPr>
    <w:rPr>
      <w:rFonts w:eastAsia="Times New Roman"/>
      <w:b/>
      <w:bCs/>
      <w:sz w:val="22"/>
      <w:lang w:val="en-GB" w:eastAsia="en-GB"/>
    </w:rPr>
  </w:style>
  <w:style w:type="character" w:customStyle="1" w:styleId="CommentSubjectChar">
    <w:name w:val="Comment Subject Char"/>
    <w:basedOn w:val="CommentTextChar"/>
    <w:link w:val="CommentSubject"/>
    <w:rsid w:val="0051662F"/>
    <w:rPr>
      <w:rFonts w:ascii="Arial" w:eastAsia="Times New Roman" w:hAnsi="Arial"/>
      <w:b/>
      <w:bCs/>
      <w:sz w:val="22"/>
      <w:lang w:val="en-GB" w:eastAsia="en-GB"/>
    </w:rPr>
  </w:style>
  <w:style w:type="paragraph" w:styleId="Revision">
    <w:name w:val="Revision"/>
    <w:hidden/>
    <w:semiHidden/>
    <w:rsid w:val="0051662F"/>
    <w:rPr>
      <w:rFonts w:ascii="Arial" w:eastAsia="Times" w:hAnsi="Arial"/>
      <w:sz w:val="18"/>
      <w:lang w:val="en-GB" w:eastAsia="en-GB"/>
    </w:rPr>
  </w:style>
  <w:style w:type="character" w:customStyle="1" w:styleId="CSFFCharChar">
    <w:name w:val="CSFF Char Char"/>
    <w:locked/>
    <w:rsid w:val="0051662F"/>
    <w:rPr>
      <w:rFonts w:ascii="Arial"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7272">
      <w:bodyDiv w:val="1"/>
      <w:marLeft w:val="0"/>
      <w:marRight w:val="0"/>
      <w:marTop w:val="0"/>
      <w:marBottom w:val="0"/>
      <w:divBdr>
        <w:top w:val="none" w:sz="0" w:space="0" w:color="auto"/>
        <w:left w:val="none" w:sz="0" w:space="0" w:color="auto"/>
        <w:bottom w:val="none" w:sz="0" w:space="0" w:color="auto"/>
        <w:right w:val="none" w:sz="0" w:space="0" w:color="auto"/>
      </w:divBdr>
    </w:div>
    <w:div w:id="429277863">
      <w:bodyDiv w:val="1"/>
      <w:marLeft w:val="0"/>
      <w:marRight w:val="0"/>
      <w:marTop w:val="0"/>
      <w:marBottom w:val="0"/>
      <w:divBdr>
        <w:top w:val="none" w:sz="0" w:space="0" w:color="auto"/>
        <w:left w:val="none" w:sz="0" w:space="0" w:color="auto"/>
        <w:bottom w:val="none" w:sz="0" w:space="0" w:color="auto"/>
        <w:right w:val="none" w:sz="0" w:space="0" w:color="auto"/>
      </w:divBdr>
    </w:div>
    <w:div w:id="813065702">
      <w:bodyDiv w:val="1"/>
      <w:marLeft w:val="0"/>
      <w:marRight w:val="0"/>
      <w:marTop w:val="0"/>
      <w:marBottom w:val="0"/>
      <w:divBdr>
        <w:top w:val="none" w:sz="0" w:space="0" w:color="auto"/>
        <w:left w:val="none" w:sz="0" w:space="0" w:color="auto"/>
        <w:bottom w:val="none" w:sz="0" w:space="0" w:color="auto"/>
        <w:right w:val="none" w:sz="0" w:space="0" w:color="auto"/>
      </w:divBdr>
    </w:div>
    <w:div w:id="1003162018">
      <w:bodyDiv w:val="1"/>
      <w:marLeft w:val="0"/>
      <w:marRight w:val="0"/>
      <w:marTop w:val="0"/>
      <w:marBottom w:val="0"/>
      <w:divBdr>
        <w:top w:val="none" w:sz="0" w:space="0" w:color="auto"/>
        <w:left w:val="none" w:sz="0" w:space="0" w:color="auto"/>
        <w:bottom w:val="none" w:sz="0" w:space="0" w:color="auto"/>
        <w:right w:val="none" w:sz="0" w:space="0" w:color="auto"/>
      </w:divBdr>
    </w:div>
    <w:div w:id="1520655950">
      <w:bodyDiv w:val="1"/>
      <w:marLeft w:val="0"/>
      <w:marRight w:val="0"/>
      <w:marTop w:val="0"/>
      <w:marBottom w:val="0"/>
      <w:divBdr>
        <w:top w:val="none" w:sz="0" w:space="0" w:color="auto"/>
        <w:left w:val="none" w:sz="0" w:space="0" w:color="auto"/>
        <w:bottom w:val="none" w:sz="0" w:space="0" w:color="auto"/>
        <w:right w:val="none" w:sz="0" w:space="0" w:color="auto"/>
      </w:divBdr>
    </w:div>
    <w:div w:id="182925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ankingsupervision.europa.eu/press/speeches/date/2017/html/ssm.sp170915.en.html" TargetMode="External"/><Relationship Id="rId21" Type="http://schemas.openxmlformats.org/officeDocument/2006/relationships/hyperlink" Target="https://www.bankingsupervision.europa.eu/legalframework/publiccons/pdf/licensing_and_fintech/licensing_and_fintech_faq.en.pdf" TargetMode="External"/><Relationship Id="rId42" Type="http://schemas.openxmlformats.org/officeDocument/2006/relationships/hyperlink" Target="http://www.eba.europa.eu/-/the-eba-crdiv-crr-basel-iii-monitoring-exercise-shows-further-improvement-of-eu-banks-capital-leverage-and-liquidity-ratios" TargetMode="External"/><Relationship Id="rId47" Type="http://schemas.openxmlformats.org/officeDocument/2006/relationships/hyperlink" Target="http://www.eba.europa.eu/-/eba-launches-consultation-on-significant-risk-transfer-in-securitisation" TargetMode="External"/><Relationship Id="rId63" Type="http://schemas.openxmlformats.org/officeDocument/2006/relationships/image" Target="media/image2.png"/><Relationship Id="rId68" Type="http://schemas.openxmlformats.org/officeDocument/2006/relationships/image" Target="media/image6.png"/><Relationship Id="rId16" Type="http://schemas.openxmlformats.org/officeDocument/2006/relationships/hyperlink" Target="https://www.bankingsupervision.europa.eu/ecb/pub/pdf/ssm.mepletter170901_crespo.en.pdf?12082b2b4484418803e1021ea147af65" TargetMode="External"/><Relationship Id="rId11" Type="http://schemas.openxmlformats.org/officeDocument/2006/relationships/hyperlink" Target="http://www.cssf.lu/en/documentation/publications/annual-reports/news-cat/567/" TargetMode="External"/><Relationship Id="rId32" Type="http://schemas.openxmlformats.org/officeDocument/2006/relationships/hyperlink" Target="https://www.bankingsupervision.europa.eu/press/speeches/date/2017/html/ssm.sp170928.en.html" TargetMode="External"/><Relationship Id="rId37" Type="http://schemas.openxmlformats.org/officeDocument/2006/relationships/hyperlink" Target="http://europa.eu/rapid/press-release_IP-17-3308_en.htm" TargetMode="External"/><Relationship Id="rId53" Type="http://schemas.openxmlformats.org/officeDocument/2006/relationships/hyperlink" Target="https://www.esrb.europa.eu/pub/pdf/dashboard/20170928_annex1.en.pdf?943f57fa46593cb97f423e35a92c6c0c" TargetMode="External"/><Relationship Id="rId58" Type="http://schemas.openxmlformats.org/officeDocument/2006/relationships/hyperlink" Target="http://www.bis.org/bcbs/ifrs_bcbs_mou.pdf" TargetMode="External"/><Relationship Id="rId74" Type="http://schemas.openxmlformats.org/officeDocument/2006/relationships/image" Target="media/image12.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bis.org/bcbs/publ/d417.htm" TargetMode="External"/><Relationship Id="rId82" Type="http://schemas.openxmlformats.org/officeDocument/2006/relationships/fontTable" Target="fontTable.xml"/><Relationship Id="rId19" Type="http://schemas.openxmlformats.org/officeDocument/2006/relationships/hyperlink" Target="https://www.bankingsupervision.europa.eu/legalframework/publiccons/pdf/licensing_and_fintech/ssm.guide_to_assessment_of_credit_institution_licensing_applications_draft.en.pdf" TargetMode="External"/><Relationship Id="rId14" Type="http://schemas.openxmlformats.org/officeDocument/2006/relationships/hyperlink" Target="http://www.iosco.org/investor_protection/?subsection=investor_alerts_portal" TargetMode="External"/><Relationship Id="rId22" Type="http://schemas.openxmlformats.org/officeDocument/2006/relationships/hyperlink" Target="https://www.bankingsupervision.europa.eu/ecb/pub/pdf/ssm.egma_guide_201709.en.pdf?be295139d4771585275a5ad946ba5a12" TargetMode="External"/><Relationship Id="rId27" Type="http://schemas.openxmlformats.org/officeDocument/2006/relationships/hyperlink" Target="https://www.bankingsupervision.europa.eu/press/speeches/date/2017/html/ssm.sp170915_1.en.html" TargetMode="External"/><Relationship Id="rId30" Type="http://schemas.openxmlformats.org/officeDocument/2006/relationships/hyperlink" Target="https://www.bankingsupervision.europa.eu/press/speeches/date/2017/html/ssm.sp170922_1.en.html" TargetMode="External"/><Relationship Id="rId35" Type="http://schemas.openxmlformats.org/officeDocument/2006/relationships/hyperlink" Target="http://eur-lex.europa.eu/legal-content/EN/TXT/?uri=uriserv:OJ.L_.2017.240.01.0212.01.ENG&amp;toc=OJ:L:2017:240:TOC" TargetMode="External"/><Relationship Id="rId43" Type="http://schemas.openxmlformats.org/officeDocument/2006/relationships/hyperlink" Target="http://www.eba.europa.eu/-/eba-publishes-guidance-to-further-harmonise-eu-banks-internal-governance" TargetMode="External"/><Relationship Id="rId48" Type="http://schemas.openxmlformats.org/officeDocument/2006/relationships/hyperlink" Target="http://www.eba.europa.eu/-/eba-consults-on-amendments-to-technical-standards-on-supervisory-disclosure" TargetMode="External"/><Relationship Id="rId56" Type="http://schemas.openxmlformats.org/officeDocument/2006/relationships/hyperlink" Target="https://www.esrb.europa.eu/national_policy/ccb/all_rates/html/index.en.html" TargetMode="External"/><Relationship Id="rId64" Type="http://schemas.openxmlformats.org/officeDocument/2006/relationships/hyperlink" Target="https://www.esma.europa.eu/sites/default/files/library/esma70-145-238_lei_briefing_note.pdf" TargetMode="External"/><Relationship Id="rId69" Type="http://schemas.openxmlformats.org/officeDocument/2006/relationships/image" Target="media/image7.png"/><Relationship Id="rId77" Type="http://schemas.openxmlformats.org/officeDocument/2006/relationships/image" Target="media/image15.png"/><Relationship Id="rId8" Type="http://schemas.openxmlformats.org/officeDocument/2006/relationships/hyperlink" Target="http://www.cssf.lu/en/" TargetMode="External"/><Relationship Id="rId51" Type="http://schemas.openxmlformats.org/officeDocument/2006/relationships/hyperlink" Target="https://www.esrb.europa.eu/pub/pdf/dashboard/esrb.risk_dashboard170928_21.en.pdf?" TargetMode="External"/><Relationship Id="rId72" Type="http://schemas.openxmlformats.org/officeDocument/2006/relationships/image" Target="media/image10.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cssf.lu/fr/consommateur/avertissements/news-cat/90/" TargetMode="External"/><Relationship Id="rId17" Type="http://schemas.openxmlformats.org/officeDocument/2006/relationships/hyperlink" Target="http://www.ecb.europa.eu/ecb/legal/pdf/en_con_2017_38_eu_f_sign.pdf" TargetMode="External"/><Relationship Id="rId25" Type="http://schemas.openxmlformats.org/officeDocument/2006/relationships/hyperlink" Target="https://www.bankingsupervision.europa.eu/press/speeches/date/2017/html/ssm.sp170906.en.html" TargetMode="External"/><Relationship Id="rId33" Type="http://schemas.openxmlformats.org/officeDocument/2006/relationships/hyperlink" Target="https://www.bankingsupervision.europa.eu/press/speeches/date/2017/html/ssm.sp170929.en.html" TargetMode="External"/><Relationship Id="rId38" Type="http://schemas.openxmlformats.org/officeDocument/2006/relationships/hyperlink" Target="http://europa.eu/rapid/press-release_IP-17-3308_en.htm" TargetMode="External"/><Relationship Id="rId46" Type="http://schemas.openxmlformats.org/officeDocument/2006/relationships/hyperlink" Target="http://www.eba.europa.eu/-/eba-and-us-agencies-conclude-framework-cooperation-arrangement-on-bank-resolution" TargetMode="External"/><Relationship Id="rId59" Type="http://schemas.openxmlformats.org/officeDocument/2006/relationships/hyperlink" Target="http://www.bis.org/bcbs/ifrs_bcbs_mou.pdf" TargetMode="External"/><Relationship Id="rId67" Type="http://schemas.openxmlformats.org/officeDocument/2006/relationships/image" Target="media/image5.png"/><Relationship Id="rId20" Type="http://schemas.openxmlformats.org/officeDocument/2006/relationships/hyperlink" Target="https://www.bankingsupervision.europa.eu/legalframework/publiccons/pdf/licensing_and_fintech/ssm.guide_on_assessment_for_licensing_of_fintech_credit_insts_draft.en.pdf" TargetMode="External"/><Relationship Id="rId41" Type="http://schemas.openxmlformats.org/officeDocument/2006/relationships/hyperlink" Target="http://www.eba.europa.eu/-/eba-issues-revised-list-of-its-validation-ru-13" TargetMode="External"/><Relationship Id="rId54" Type="http://schemas.openxmlformats.org/officeDocument/2006/relationships/hyperlink" Target="https://www.esrb.europa.eu/pub/pdf/dashboard/20170928_annex2.en.pdf?943f57fa46593cb97f423e35a92c6c0c" TargetMode="External"/><Relationship Id="rId62" Type="http://schemas.openxmlformats.org/officeDocument/2006/relationships/hyperlink" Target="http://www.imf.org/en/News/Articles/2017/09/21/pr17363-fsb-and-imf-report-on-progress-with-g20-data-gaps-initiative" TargetMode="Externa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ssf.lu/en/supervision/banks/regulation/laws-regulations-and-other-texts/" TargetMode="External"/><Relationship Id="rId23" Type="http://schemas.openxmlformats.org/officeDocument/2006/relationships/hyperlink" Target="https://www.bankingsupervision.europa.eu/press/interviews/date/2017/html/ssm.in170905.en.html" TargetMode="External"/><Relationship Id="rId28" Type="http://schemas.openxmlformats.org/officeDocument/2006/relationships/hyperlink" Target="https://www.bankingsupervision.europa.eu/press/speeches/date/2017/html/ssm.sp170918.en.html" TargetMode="External"/><Relationship Id="rId36" Type="http://schemas.openxmlformats.org/officeDocument/2006/relationships/hyperlink" Target="http://eur-lex.europa.eu/legal-content/EN/ALL/?uri=CELEX:32017R0565R(01)" TargetMode="External"/><Relationship Id="rId49" Type="http://schemas.openxmlformats.org/officeDocument/2006/relationships/hyperlink" Target="http://www.eba.europa.eu/-/esas-provide-guidance-to-prevent-terrorist-financing-and-money-laundering-in-electronic-fund-transfers" TargetMode="External"/><Relationship Id="rId57" Type="http://schemas.openxmlformats.org/officeDocument/2006/relationships/hyperlink" Target="https://www.bis.org/bcbs/ccyb/" TargetMode="External"/><Relationship Id="rId10" Type="http://schemas.openxmlformats.org/officeDocument/2006/relationships/image" Target="media/image1.jpeg"/><Relationship Id="rId31" Type="http://schemas.openxmlformats.org/officeDocument/2006/relationships/hyperlink" Target="https://www.bankingsupervision.europa.eu/press/speeches/date/2017/html/ssm.sp170927.en.html" TargetMode="External"/><Relationship Id="rId44" Type="http://schemas.openxmlformats.org/officeDocument/2006/relationships/hyperlink" Target="http://www.eba.europa.eu/-/eba-publishes-final-technical-standards-on-mrel-reporting-by-resolution-authorities" TargetMode="External"/><Relationship Id="rId52" Type="http://schemas.openxmlformats.org/officeDocument/2006/relationships/hyperlink" Target="https://www.esrb.europa.eu/pub/pdf/dashboard/20170928_overviewnote.en.pdf?a8a8b864ec4c50af424500f832625240" TargetMode="External"/><Relationship Id="rId60" Type="http://schemas.openxmlformats.org/officeDocument/2006/relationships/hyperlink" Target="https://www.bis.org/bcbs/publ/d416.htm" TargetMode="External"/><Relationship Id="rId65" Type="http://schemas.openxmlformats.org/officeDocument/2006/relationships/image" Target="media/image3.png"/><Relationship Id="rId73" Type="http://schemas.openxmlformats.org/officeDocument/2006/relationships/image" Target="media/image11.png"/><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cssf.lu/en/" TargetMode="External"/><Relationship Id="rId13" Type="http://schemas.openxmlformats.org/officeDocument/2006/relationships/hyperlink" Target="https://www.fca.org.uk/news/warnings/pascal-grande-capital-partners-clone" TargetMode="External"/><Relationship Id="rId18" Type="http://schemas.openxmlformats.org/officeDocument/2006/relationships/hyperlink" Target="https://www.bankingsupervision.europa.eu/press/pr/date/2017/html/ssm.pr170921.en.html" TargetMode="External"/><Relationship Id="rId39" Type="http://schemas.openxmlformats.org/officeDocument/2006/relationships/hyperlink" Target="http://www.eba.europa.eu/-/eba-welcomes-the-commission-proposal-to-strengthen-the-framework-for-its-operation" TargetMode="External"/><Relationship Id="rId34" Type="http://schemas.openxmlformats.org/officeDocument/2006/relationships/hyperlink" Target="http://eur-lex.europa.eu/legal-content/EN/TXT/?uri=uriserv:OJ.L_.2017.240.01.0001.01.ENG&amp;toc=OJ:L:2017:240:TOC&#168;" TargetMode="External"/><Relationship Id="rId50" Type="http://schemas.openxmlformats.org/officeDocument/2006/relationships/hyperlink" Target="http://www.eba.europa.eu/-/eba-and-esma-provide-guidance-to-assess-the-suitability-of-management-body-members-and-key-function-holders" TargetMode="External"/><Relationship Id="rId55" Type="http://schemas.openxmlformats.org/officeDocument/2006/relationships/hyperlink" Target="http://www.cssf.lu/fileadmin/files/Lois_reglements/Legislation/RG_CSSF/RCSSF_No17-03.pdf" TargetMode="Externa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www.bankingsupervision.europa.eu/press/speeches/date/2017/html/ssm.sp170922.en.html" TargetMode="External"/><Relationship Id="rId24" Type="http://schemas.openxmlformats.org/officeDocument/2006/relationships/hyperlink" Target="https://www.bankingsupervision.europa.eu/press/speeches/date/2017/html/ssm.sp170905.en.html" TargetMode="External"/><Relationship Id="rId40" Type="http://schemas.openxmlformats.org/officeDocument/2006/relationships/hyperlink" Target="https://www.esma.europa.eu/press-news/esma-news/esma-welcomes-proposals-following-esas-review" TargetMode="External"/><Relationship Id="rId45" Type="http://schemas.openxmlformats.org/officeDocument/2006/relationships/hyperlink" Target="http://www.eba.europa.eu/-/eba-issues-opinion-on-the-design-of-a-new-prudential-framework-for-investment-firms" TargetMode="External"/><Relationship Id="rId66"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jkovic\AppData\Local\Microsoft\Windows\INetCache\IE\JWV27QD0\Template%20Newsletter%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A882B-69B9-44AA-A610-B7B73482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Newsletter New</Template>
  <TotalTime>1</TotalTime>
  <Pages>25</Pages>
  <Words>8114</Words>
  <Characters>44633</Characters>
  <Application>Microsoft Office Word</Application>
  <DocSecurity>0</DocSecurity>
  <Lines>371</Lines>
  <Paragraphs>105</Paragraphs>
  <ScaleCrop>false</ScaleCrop>
  <HeadingPairs>
    <vt:vector size="2" baseType="variant">
      <vt:variant>
        <vt:lpstr>Title</vt:lpstr>
      </vt:variant>
      <vt:variant>
        <vt:i4>1</vt:i4>
      </vt:variant>
    </vt:vector>
  </HeadingPairs>
  <TitlesOfParts>
    <vt:vector size="1" baseType="lpstr">
      <vt:lpstr/>
    </vt:vector>
  </TitlesOfParts>
  <Company>CSSF</Company>
  <LinksUpToDate>false</LinksUpToDate>
  <CharactersWithSpaces>52642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CSSF</dc:creator>
  <cp:keywords/>
  <dc:description/>
  <cp:lastModifiedBy>CSSF</cp:lastModifiedBy>
  <cp:revision>2</cp:revision>
  <cp:lastPrinted>2017-11-21T09:37:00Z</cp:lastPrinted>
  <dcterms:created xsi:type="dcterms:W3CDTF">2017-11-24T06:48:00Z</dcterms:created>
  <dcterms:modified xsi:type="dcterms:W3CDTF">2017-11-24T06:48:00Z</dcterms:modified>
</cp:coreProperties>
</file>